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-567" w:right="0" w:hanging="709"/>
        <w:jc w:val="center"/>
        <w:rPr/>
      </w:pPr>
      <w:r>
        <w:rPr>
          <w:rFonts w:cs="Times New Roman"/>
          <w:kern w:val="2"/>
        </w:rPr>
        <w:t xml:space="preserve">   </w:t>
      </w:r>
      <w:r>
        <w:rPr>
          <w:rFonts w:cs="Tahoma"/>
          <w:kern w:val="2"/>
        </w:rPr>
        <w:t>РОССИЙСКАЯ ФЕДЕРАЦИЯ</w:t>
      </w:r>
    </w:p>
    <w:p>
      <w:pPr>
        <w:pStyle w:val="Normal"/>
        <w:widowControl w:val="false"/>
        <w:bidi w:val="0"/>
        <w:jc w:val="center"/>
        <w:rPr>
          <w:rFonts w:cs="Tahoma"/>
          <w:kern w:val="2"/>
        </w:rPr>
      </w:pPr>
      <w:r>
        <w:rPr>
          <w:rFonts w:cs="Tahoma"/>
          <w:kern w:val="2"/>
        </w:rPr>
        <w:t>СУВОРОВСКАЯ СЕЛЬСКАЯ АДМИНИСТРАЦИЯ</w:t>
      </w:r>
    </w:p>
    <w:p>
      <w:pPr>
        <w:pStyle w:val="Normal"/>
        <w:widowControl w:val="false"/>
        <w:bidi w:val="0"/>
        <w:jc w:val="center"/>
        <w:rPr>
          <w:rFonts w:cs="Tahoma"/>
          <w:kern w:val="2"/>
        </w:rPr>
      </w:pPr>
      <w:r>
        <w:rPr>
          <w:rFonts w:cs="Tahoma"/>
          <w:kern w:val="2"/>
        </w:rPr>
        <w:t>БРЯНСКАЯ ОБЛАСТЬ ПОГАРСКИЙ РАЙОН</w:t>
      </w:r>
    </w:p>
    <w:p>
      <w:pPr>
        <w:pStyle w:val="Normal"/>
        <w:widowControl w:val="false"/>
        <w:bidi w:val="0"/>
        <w:jc w:val="center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ind w:left="706" w:right="0" w:hanging="0"/>
        <w:jc w:val="center"/>
        <w:rPr>
          <w:rFonts w:cs="Tahoma"/>
          <w:kern w:val="2"/>
        </w:rPr>
      </w:pPr>
      <w:bookmarkStart w:id="0" w:name="__DdeLink__459_259255923"/>
      <w:bookmarkEnd w:id="0"/>
      <w:r>
        <w:rPr>
          <w:rFonts w:cs="Tahoma"/>
          <w:kern w:val="2"/>
        </w:rPr>
        <w:t>ПОСТАНОВЛЕНИЕ</w:t>
      </w:r>
    </w:p>
    <w:p>
      <w:pPr>
        <w:pStyle w:val="Normal"/>
        <w:widowControl w:val="false"/>
        <w:bidi w:val="0"/>
        <w:ind w:left="706" w:right="0" w:hanging="0"/>
        <w:jc w:val="center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ind w:left="706" w:right="0" w:hanging="0"/>
        <w:jc w:val="left"/>
        <w:rPr>
          <w:rFonts w:cs="Tahoma"/>
          <w:kern w:val="2"/>
        </w:rPr>
      </w:pPr>
      <w:r>
        <w:rPr>
          <w:rFonts w:cs="Tahoma"/>
          <w:kern w:val="2"/>
        </w:rPr>
        <w:t>от 29.10.2020 г. № 32</w:t>
      </w:r>
    </w:p>
    <w:p>
      <w:pPr>
        <w:pStyle w:val="Normal"/>
        <w:widowControl w:val="false"/>
        <w:bidi w:val="0"/>
        <w:ind w:left="706" w:right="0" w:hanging="0"/>
        <w:jc w:val="left"/>
        <w:rPr>
          <w:rFonts w:cs="Tahoma"/>
          <w:kern w:val="2"/>
        </w:rPr>
      </w:pPr>
      <w:r>
        <w:rPr>
          <w:rFonts w:cs="Tahoma"/>
          <w:kern w:val="2"/>
        </w:rPr>
        <w:t>с. Суворово</w:t>
      </w:r>
    </w:p>
    <w:p>
      <w:pPr>
        <w:pStyle w:val="Normal"/>
        <w:widowControl w:val="false"/>
        <w:autoSpaceDE w:val="false"/>
        <w:bidi w:val="0"/>
        <w:ind w:left="0" w:right="114" w:hanging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autoSpaceDE w:val="false"/>
        <w:bidi w:val="0"/>
        <w:ind w:left="0" w:right="1957" w:hanging="0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Об утверждении Положения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</w:p>
    <w:p>
      <w:pPr>
        <w:pStyle w:val="Normal"/>
        <w:widowControl w:val="false"/>
        <w:autoSpaceDE w:val="false"/>
        <w:bidi w:val="0"/>
        <w:jc w:val="left"/>
        <w:rPr>
          <w:rFonts w:cs="Tahoma"/>
          <w:bCs/>
          <w:kern w:val="2"/>
        </w:rPr>
      </w:pPr>
      <w:r>
        <w:rPr>
          <w:rFonts w:cs="Tahoma"/>
          <w:bCs/>
          <w:kern w:val="2"/>
        </w:rPr>
      </w:r>
      <w:bookmarkStart w:id="1" w:name="__DdeLink__459_259255923"/>
      <w:bookmarkStart w:id="2" w:name="__DdeLink__459_259255923"/>
      <w:bookmarkEnd w:id="2"/>
    </w:p>
    <w:p>
      <w:pPr>
        <w:pStyle w:val="Normal"/>
        <w:widowControl w:val="false"/>
        <w:bidi w:val="0"/>
        <w:ind w:left="0" w:right="0" w:firstLine="708"/>
        <w:jc w:val="left"/>
        <w:rPr>
          <w:rFonts w:cs="Tahoma"/>
          <w:kern w:val="2"/>
        </w:rPr>
      </w:pPr>
      <w:r>
        <w:rPr>
          <w:rFonts w:cs="Tahoma"/>
          <w:kern w:val="2"/>
        </w:rPr>
        <w:t>В целях совершенствования поддержки малого и среднего предпринимательства в Суворовском сельском поселении, в соответствии с ч.4.1 ст. 18 Федерального закона от 24.07.2007 № 209-ФЗ "О развитии малого и среднего предпринимательства в Российской Федерации",Федеральным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руководствуясь Уставом Суворовского сельского поселения</w:t>
      </w:r>
    </w:p>
    <w:p>
      <w:pPr>
        <w:pStyle w:val="Normal"/>
        <w:widowControl w:val="false"/>
        <w:bidi w:val="0"/>
        <w:ind w:left="0" w:right="0" w:firstLine="708"/>
        <w:jc w:val="left"/>
        <w:rPr>
          <w:rFonts w:cs="Tahoma"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/>
      </w:pPr>
      <w:r>
        <w:rPr>
          <w:rFonts w:cs="Tahoma"/>
          <w:kern w:val="2"/>
          <w:lang w:val="en-US"/>
        </w:rPr>
        <w:t>ПОСТАНОВЛЯ</w:t>
      </w:r>
      <w:r>
        <w:rPr>
          <w:rFonts w:cs="Tahoma"/>
          <w:kern w:val="2"/>
        </w:rPr>
        <w:t>Ю</w:t>
      </w:r>
      <w:r>
        <w:rPr>
          <w:rFonts w:cs="Tahoma"/>
          <w:kern w:val="2"/>
          <w:lang w:val="en-US"/>
        </w:rPr>
        <w:t>: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cs="Tahoma"/>
          <w:kern w:val="2"/>
          <w:sz w:val="24"/>
          <w:szCs w:val="24"/>
          <w:lang w:val="en-US"/>
        </w:rPr>
      </w:pPr>
      <w:r>
        <w:rPr>
          <w:rFonts w:cs="Tahoma"/>
          <w:kern w:val="2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ind w:left="0" w:right="0" w:firstLine="425"/>
        <w:jc w:val="left"/>
        <w:rPr/>
      </w:pPr>
      <w:r>
        <w:rPr>
          <w:kern w:val="2"/>
        </w:rPr>
        <w:t xml:space="preserve">Утвердить «Положение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2">
        <w:r>
          <w:rPr>
            <w:rStyle w:val="Style14"/>
            <w:color w:val="000000"/>
            <w:kern w:val="2"/>
          </w:rPr>
          <w:t>льготным ставкам</w:t>
        </w:r>
      </w:hyperlink>
      <w:r>
        <w:rPr>
          <w:kern w:val="2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(Приложение № 1).</w:t>
      </w:r>
    </w:p>
    <w:p>
      <w:pPr>
        <w:pStyle w:val="Normal"/>
        <w:widowControl w:val="false"/>
        <w:numPr>
          <w:ilvl w:val="0"/>
          <w:numId w:val="1"/>
        </w:numPr>
        <w:bidi w:val="0"/>
        <w:ind w:left="0" w:right="0" w:firstLine="425"/>
        <w:jc w:val="left"/>
        <w:rPr/>
      </w:pPr>
      <w:r>
        <w:rPr>
          <w:kern w:val="2"/>
        </w:rPr>
        <w:t xml:space="preserve">Постановление № 7 </w:t>
      </w:r>
      <w:r>
        <w:rPr>
          <w:rFonts w:cs="Tahoma"/>
          <w:kern w:val="2"/>
        </w:rPr>
        <w:t>от 17.02.2020 г. «Об утверждении положения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признать утратившим силу.</w:t>
      </w:r>
    </w:p>
    <w:p>
      <w:pPr>
        <w:pStyle w:val="Normal"/>
        <w:widowControl w:val="false"/>
        <w:bidi w:val="0"/>
        <w:spacing w:before="0" w:after="12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3.Разместить настоящее постановление на официальном сайте администрации Погарского района в сети интернет. </w:t>
      </w:r>
    </w:p>
    <w:p>
      <w:pPr>
        <w:pStyle w:val="Normal"/>
        <w:widowControl w:val="false"/>
        <w:bidi w:val="0"/>
        <w:jc w:val="left"/>
        <w:rPr/>
      </w:pPr>
      <w:r>
        <w:rPr>
          <w:rFonts w:cs="Times New Roman"/>
          <w:kern w:val="2"/>
        </w:rPr>
        <w:t xml:space="preserve">          </w:t>
      </w:r>
      <w:r>
        <w:rPr>
          <w:rFonts w:cs="Tahoma"/>
          <w:kern w:val="2"/>
        </w:rPr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autoSpaceDE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  <w:t>Глава Суворовского</w:t>
      </w:r>
    </w:p>
    <w:p>
      <w:pPr>
        <w:pStyle w:val="Normal"/>
        <w:widowControl w:val="false"/>
        <w:autoSpaceDE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  <w:t>сельского поселения                                                    С.С.Бодой</w:t>
      </w:r>
    </w:p>
    <w:p>
      <w:pPr>
        <w:pStyle w:val="Normal"/>
        <w:widowControl w:val="false"/>
        <w:bidi w:val="0"/>
        <w:ind w:left="5220" w:right="0" w:hanging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ind w:left="5220" w:right="0" w:hanging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b/>
          <w:b/>
          <w:color w:val="000000"/>
          <w:kern w:val="2"/>
        </w:rPr>
      </w:pPr>
      <w:r>
        <w:rPr>
          <w:rFonts w:cs="Tahoma"/>
          <w:b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b/>
          <w:b/>
          <w:color w:val="000000"/>
          <w:kern w:val="2"/>
        </w:rPr>
      </w:pPr>
      <w:r>
        <w:rPr>
          <w:rFonts w:cs="Tahoma"/>
          <w:b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14580" w:leader="none"/>
        </w:tabs>
        <w:bidi w:val="0"/>
        <w:ind w:left="4860" w:right="0" w:hanging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right"/>
        <w:rPr>
          <w:color w:val="000000"/>
          <w:kern w:val="2"/>
        </w:rPr>
      </w:pPr>
      <w:r>
        <w:rPr>
          <w:rFonts w:cs="Times New Roman"/>
          <w:color w:val="000000"/>
          <w:kern w:val="2"/>
        </w:rPr>
        <w:t xml:space="preserve">                                                                      </w:t>
      </w:r>
      <w:r>
        <w:rPr>
          <w:rFonts w:cs="Tahoma"/>
          <w:color w:val="000000"/>
          <w:kern w:val="2"/>
        </w:rPr>
        <w:t xml:space="preserve">Приложение 1 </w:t>
      </w:r>
    </w:p>
    <w:p>
      <w:pPr>
        <w:pStyle w:val="Normal"/>
        <w:widowControl w:val="false"/>
        <w:bidi w:val="0"/>
        <w:ind w:left="0" w:right="0" w:firstLine="4860"/>
        <w:jc w:val="righ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 xml:space="preserve">к постановлению </w:t>
      </w:r>
    </w:p>
    <w:p>
      <w:pPr>
        <w:pStyle w:val="Normal"/>
        <w:widowControl w:val="false"/>
        <w:bidi w:val="0"/>
        <w:ind w:left="0" w:right="0" w:firstLine="4860"/>
        <w:jc w:val="righ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от 29.10.2020 г. № 32</w:t>
      </w:r>
    </w:p>
    <w:p>
      <w:pPr>
        <w:pStyle w:val="Normal"/>
        <w:widowControl w:val="false"/>
        <w:bidi w:val="0"/>
        <w:ind w:left="0" w:right="0" w:firstLine="4860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</w:r>
    </w:p>
    <w:p>
      <w:pPr>
        <w:pStyle w:val="Normal"/>
        <w:widowControl w:val="false"/>
        <w:bidi w:val="0"/>
        <w:ind w:left="0" w:right="0" w:firstLine="4860"/>
        <w:jc w:val="left"/>
        <w:rPr>
          <w:rFonts w:cs="Tahoma"/>
          <w:bCs/>
          <w:color w:val="000000"/>
          <w:kern w:val="2"/>
          <w:sz w:val="20"/>
          <w:szCs w:val="20"/>
        </w:rPr>
      </w:pPr>
      <w:r>
        <w:rPr>
          <w:rFonts w:cs="Tahoma"/>
          <w:bCs/>
          <w:color w:val="000000"/>
          <w:kern w:val="2"/>
          <w:sz w:val="20"/>
          <w:szCs w:val="20"/>
        </w:rPr>
      </w:r>
    </w:p>
    <w:p>
      <w:pPr>
        <w:pStyle w:val="Normal"/>
        <w:widowControl w:val="false"/>
        <w:bidi w:val="0"/>
        <w:jc w:val="left"/>
        <w:rPr>
          <w:rFonts w:cs="Tahoma"/>
          <w:bCs/>
          <w:color w:val="000000"/>
          <w:kern w:val="2"/>
          <w:sz w:val="20"/>
          <w:szCs w:val="20"/>
        </w:rPr>
      </w:pPr>
      <w:r>
        <w:rPr>
          <w:rFonts w:cs="Tahoma"/>
          <w:bCs/>
          <w:color w:val="000000"/>
          <w:kern w:val="2"/>
          <w:sz w:val="20"/>
          <w:szCs w:val="20"/>
        </w:rPr>
      </w:r>
    </w:p>
    <w:p>
      <w:pPr>
        <w:pStyle w:val="Normal"/>
        <w:widowControl w:val="false"/>
        <w:bidi w:val="0"/>
        <w:jc w:val="center"/>
        <w:rPr>
          <w:kern w:val="2"/>
        </w:rPr>
      </w:pPr>
      <w:r>
        <w:rPr>
          <w:rFonts w:cs="Times New Roman"/>
          <w:kern w:val="2"/>
        </w:rPr>
        <w:t xml:space="preserve"> </w:t>
      </w:r>
      <w:r>
        <w:rPr>
          <w:rFonts w:cs="Tahoma"/>
          <w:kern w:val="2"/>
        </w:rPr>
        <w:t xml:space="preserve">Положение </w:t>
      </w:r>
    </w:p>
    <w:p>
      <w:pPr>
        <w:pStyle w:val="Normal"/>
        <w:widowControl w:val="false"/>
        <w:bidi w:val="0"/>
        <w:jc w:val="center"/>
        <w:rPr/>
      </w:pPr>
      <w:r>
        <w:rPr>
          <w:rFonts w:cs="Tahoma"/>
          <w:kern w:val="2"/>
        </w:rPr>
        <w:t xml:space="preserve">о порядке формирования, ведения и опубликования Перечня  муниципального имущества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3">
        <w:r>
          <w:rPr>
            <w:rStyle w:val="Style14"/>
            <w:rFonts w:cs="Tahoma"/>
            <w:color w:val="000000"/>
            <w:kern w:val="2"/>
          </w:rPr>
          <w:t>льготным ставкам</w:t>
        </w:r>
      </w:hyperlink>
      <w:r>
        <w:rPr>
          <w:rFonts w:cs="Tahoma"/>
          <w:kern w:val="2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</w:p>
    <w:p>
      <w:pPr>
        <w:pStyle w:val="Normal"/>
        <w:widowControl w:val="false"/>
        <w:bidi w:val="0"/>
        <w:jc w:val="center"/>
        <w:rPr>
          <w:rFonts w:cs="Tahoma"/>
          <w:b/>
          <w:b/>
          <w:kern w:val="2"/>
          <w:sz w:val="24"/>
          <w:szCs w:val="24"/>
        </w:rPr>
      </w:pPr>
      <w:r>
        <w:rPr>
          <w:rFonts w:cs="Tahoma"/>
          <w:b/>
          <w:kern w:val="2"/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  <w:t>1. Общие положения</w:t>
      </w:r>
    </w:p>
    <w:p>
      <w:pPr>
        <w:pStyle w:val="Normal"/>
        <w:widowControl w:val="false"/>
        <w:bidi w:val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ind w:left="0" w:right="0" w:firstLine="709"/>
        <w:jc w:val="left"/>
        <w:rPr/>
      </w:pPr>
      <w:r>
        <w:rPr>
          <w:rFonts w:cs="Tahoma"/>
          <w:kern w:val="2"/>
        </w:rPr>
        <w:t xml:space="preserve">1.1. 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4">
        <w:r>
          <w:rPr>
            <w:rStyle w:val="Style14"/>
            <w:rFonts w:cs="Tahoma"/>
            <w:color w:val="000000"/>
            <w:kern w:val="2"/>
          </w:rPr>
          <w:t>льготным ставкам</w:t>
        </w:r>
      </w:hyperlink>
      <w:r>
        <w:rPr>
          <w:rFonts w:cs="Tahoma"/>
          <w:kern w:val="2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widowControl w:val="false"/>
        <w:bidi w:val="0"/>
        <w:ind w:left="0" w:right="0" w:firstLine="709"/>
        <w:jc w:val="left"/>
        <w:rPr/>
      </w:pPr>
      <w:r>
        <w:rPr>
          <w:rFonts w:cs="Tahoma"/>
          <w:kern w:val="2"/>
        </w:rPr>
        <w:t xml:space="preserve">1.2. 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5">
        <w:r>
          <w:rPr>
            <w:rStyle w:val="Style14"/>
            <w:rFonts w:cs="Tahoma"/>
            <w:color w:val="000000"/>
            <w:kern w:val="2"/>
          </w:rPr>
          <w:t>льготным ставкам</w:t>
        </w:r>
      </w:hyperlink>
      <w:r>
        <w:rPr>
          <w:rFonts w:cs="Tahoma"/>
          <w:kern w:val="2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1.3. Термины, используемые в Положении: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микропредприятиям, и средним предприятиям.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color w:val="000000"/>
          <w:kern w:val="2"/>
          <w:highlight w:val="white"/>
        </w:rPr>
      </w:pPr>
      <w:r>
        <w:rPr>
          <w:rFonts w:cs="Tahoma"/>
          <w:color w:val="000000"/>
          <w:kern w:val="2"/>
          <w:highlight w:val="white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ч.1.1 ст.4  Федерального закона от 24 июля 2007 г. №209-ФЗ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</w:t>
      </w:r>
    </w:p>
    <w:p>
      <w:pPr>
        <w:pStyle w:val="Normal"/>
        <w:widowControl w:val="false"/>
        <w:bidi w:val="0"/>
        <w:ind w:left="0" w:right="0" w:firstLine="709"/>
        <w:jc w:val="left"/>
        <w:rPr>
          <w:kern w:val="2"/>
        </w:rPr>
      </w:pPr>
      <w:r>
        <w:rPr>
          <w:rFonts w:cs="Times New Roman"/>
          <w:kern w:val="2"/>
        </w:rPr>
        <w:t xml:space="preserve"> </w:t>
      </w:r>
      <w:r>
        <w:rPr>
          <w:rFonts w:cs="Tahoma"/>
          <w:kern w:val="2"/>
        </w:rPr>
        <w:t xml:space="preserve">Формирование Перечня - включение или исключение имущества из Перечня.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1.4. Перечень формируется в соответствии с настоящим Положением и утверждается постановлением Суворовской сельской администрации.</w:t>
      </w:r>
    </w:p>
    <w:p>
      <w:pPr>
        <w:pStyle w:val="Normal"/>
        <w:widowControl w:val="false"/>
        <w:bidi w:val="0"/>
        <w:ind w:left="0" w:right="0" w:firstLine="709"/>
        <w:jc w:val="left"/>
        <w:rPr/>
      </w:pPr>
      <w:r>
        <w:rPr>
          <w:rFonts w:cs="Tahoma"/>
          <w:kern w:val="2"/>
        </w:rPr>
        <w:t>1.5. Имущество Суворовской сельской администрации,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1.6. Муниципальное имущество, находящееся в собственности Суворовской сельской администрации, включенное в перечень, должно использоваться по целевому назначению. </w:t>
      </w:r>
    </w:p>
    <w:p>
      <w:pPr>
        <w:pStyle w:val="Normal"/>
        <w:widowControl w:val="false"/>
        <w:bidi w:val="0"/>
        <w:jc w:val="left"/>
        <w:rPr>
          <w:rFonts w:cs="Tahoma"/>
          <w:kern w:val="2"/>
          <w:sz w:val="24"/>
          <w:szCs w:val="24"/>
        </w:rPr>
      </w:pPr>
      <w:r>
        <w:rPr>
          <w:rFonts w:cs="Tahoma"/>
          <w:kern w:val="2"/>
          <w:sz w:val="24"/>
          <w:szCs w:val="24"/>
        </w:rPr>
      </w:r>
    </w:p>
    <w:p>
      <w:pPr>
        <w:pStyle w:val="Normal"/>
        <w:widowControl w:val="false"/>
        <w:bidi w:val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  <w:t>2. Порядок формирования Перечня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2.1. Перечень формируется на основании реестра муниципального имущества Суворовской сельской администрации.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2.2. Формирование Перечня осуществляется Суворовской сельской администрации.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2.3. В Перечень вносятся сведения о муниципальном  имуществе, соответствующем следующим критериям: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б) муниципальное имущество не ограничено в обороте;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в) муниципальное имущество не является объектом религиозного назначения;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г) муниципальное имущество не является объектом незавершенного строительства;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д) в отношении  муниципального имущества не принято решение о предоставлении его иным лицам;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ж) муниципальное  имущество не признано аварийным и подлежащим сносу или реконструкции.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2.4. Предложения любых заинтересованных лиц по формированию Перечня, заявления арендаторов о включении арендуемого ими имущества в Перечень, могут направляться в Суворовскую сельскую администрацию.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2.5. Включению в Перечень подлежит имущество, являющееся собственностью администрации, и на момент утверждения Перечня находящееся во владении и (или) пользовании субъектов малого и среднего предпринимательства.</w:t>
      </w:r>
    </w:p>
    <w:p>
      <w:pPr>
        <w:pStyle w:val="Normal"/>
        <w:widowControl w:val="false"/>
        <w:autoSpaceDE w:val="false"/>
        <w:bidi w:val="0"/>
        <w:ind w:left="0" w:right="0" w:firstLine="709"/>
        <w:jc w:val="left"/>
        <w:rPr/>
      </w:pPr>
      <w:r>
        <w:rPr>
          <w:rFonts w:cs="Tahoma"/>
          <w:kern w:val="2"/>
        </w:rPr>
        <w:t xml:space="preserve">2.6. Суворовская сельская администрация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6">
        <w:r>
          <w:rPr>
            <w:rStyle w:val="Style14"/>
            <w:rFonts w:cs="Tahoma"/>
            <w:color w:val="000000"/>
            <w:kern w:val="2"/>
          </w:rPr>
          <w:t>льготным ставкам</w:t>
        </w:r>
      </w:hyperlink>
      <w:r>
        <w:rPr>
          <w:rFonts w:cs="Tahoma"/>
          <w:kern w:val="2"/>
        </w:rPr>
        <w:t xml:space="preserve"> арендной платы) субъектам малого и среднего предпринимательства, самозанятым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2.7. Дополнения в утвержденный Перечень вносятся по следующим основаниям: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2.8. Дополнения в утвержденный Перечень утверждаются постановлением Суворовской сельской администрации.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cs="Tahoma"/>
          <w:kern w:val="2"/>
        </w:rPr>
      </w:pPr>
      <w:r>
        <w:rPr>
          <w:rFonts w:cs="Tahoma"/>
          <w:kern w:val="2"/>
        </w:rPr>
        <w:t>Внесение в перечень изменений, не предусматривающих исключения из перечня муниципального  имущества, осуществляется в срок,  не позднее 10 рабочих дней с даты внесения соответствующих изменений в реестр муниципального имущества.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2.11. Муниципальное имущество, находящееся в муниципальной собственности Суворовской сельской администрации может быть исключено из Перечня в следующих случаях: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- утраты или гибели имущества;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cs="Tahoma"/>
          <w:kern w:val="2"/>
        </w:rPr>
      </w:pPr>
      <w:r>
        <w:rPr>
          <w:rFonts w:cs="Tahoma"/>
          <w:kern w:val="2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cs="Tahoma"/>
          <w:kern w:val="2"/>
        </w:rPr>
      </w:pPr>
      <w:r>
        <w:rPr>
          <w:rFonts w:cs="Tahoma"/>
          <w:kern w:val="2"/>
        </w:rPr>
        <w:t>2.12.  Суворовская сельская администрация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самозанятых или организаций, образующих инфраструктуру поддержки субъектов малого и среднего предпринимательства, не поступило: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cs="Tahoma"/>
          <w:kern w:val="2"/>
        </w:rPr>
      </w:pPr>
      <w:r>
        <w:rPr>
          <w:rFonts w:cs="Tahoma"/>
          <w:kern w:val="2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>
      <w:pPr>
        <w:pStyle w:val="Normal"/>
        <w:widowControl w:val="false"/>
        <w:autoSpaceDE w:val="false"/>
        <w:bidi w:val="0"/>
        <w:ind w:left="0" w:right="0" w:firstLine="540"/>
        <w:jc w:val="left"/>
        <w:rPr>
          <w:rFonts w:cs="Tahoma"/>
          <w:kern w:val="2"/>
        </w:rPr>
      </w:pPr>
      <w:r>
        <w:rPr>
          <w:rFonts w:cs="Tahoma"/>
          <w:kern w:val="2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>
      <w:pPr>
        <w:pStyle w:val="Normal"/>
        <w:widowControl w:val="false"/>
        <w:bidi w:val="0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  <w:t>3. Порядок ведения и опубликования Перечня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3.2. Утвержденный Перечень ведется Суворовской сельской администрацией на электронном и бумажном носителях.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3.3. Утвержденный Перечень и все внесенные в него изменения подлежат: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а) обязательному опубликованию в средствах массовой информации  в течение 10 рабочих дней со дня утверждения;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б) размещению на официальном сайте администрации Погарского района в сети Интернет (в том числе в форме открытых данных) - в течение 3 рабочих дней со дня утверждения.</w:t>
      </w:r>
    </w:p>
    <w:p>
      <w:pPr>
        <w:pStyle w:val="Normal"/>
        <w:widowControl w:val="false"/>
        <w:bidi w:val="0"/>
        <w:ind w:left="0" w:right="0" w:firstLine="709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widowControl w:val="false"/>
        <w:bidi w:val="0"/>
        <w:jc w:val="center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  <w:t>4. Порядок и условия предоставления в аренду</w:t>
      </w:r>
    </w:p>
    <w:p>
      <w:pPr>
        <w:pStyle w:val="Normal"/>
        <w:widowControl w:val="false"/>
        <w:bidi w:val="0"/>
        <w:ind w:left="0" w:right="0" w:firstLine="709"/>
        <w:jc w:val="left"/>
        <w:rPr>
          <w:kern w:val="2"/>
        </w:rPr>
      </w:pPr>
      <w:r>
        <w:rPr>
          <w:rFonts w:cs="Times New Roman"/>
          <w:kern w:val="2"/>
        </w:rPr>
        <w:t xml:space="preserve"> </w:t>
      </w:r>
      <w:r>
        <w:rPr>
          <w:rFonts w:cs="Tahoma"/>
          <w:kern w:val="2"/>
        </w:rPr>
        <w:t xml:space="preserve"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предпринимательства, а также самозанятым. 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 10.02.2010 № 67.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>4.3. Торги на право заключения договоров аренды имущества, включенного в Перечень, проводит администрация Погарского района.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>
      <w:pPr>
        <w:pStyle w:val="Normal"/>
        <w:widowControl w:val="false"/>
        <w:autoSpaceDE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>
      <w:pPr>
        <w:pStyle w:val="Normal"/>
        <w:widowControl w:val="false"/>
        <w:autoSpaceDE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право владения и (или) пользования. </w:t>
      </w:r>
    </w:p>
    <w:p>
      <w:pPr>
        <w:pStyle w:val="Normal"/>
        <w:widowControl w:val="false"/>
        <w:bidi w:val="0"/>
        <w:ind w:left="840" w:right="0" w:hanging="0"/>
        <w:jc w:val="center"/>
        <w:rPr>
          <w:b/>
          <w:b/>
          <w:kern w:val="2"/>
        </w:rPr>
      </w:pPr>
      <w:r>
        <w:rPr>
          <w:b/>
          <w:kern w:val="2"/>
        </w:rPr>
        <w:t>5. Условия предоставления льгот по арендной плате за муниципальное имущество, включенное в Перечень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5.1.Субъектам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Суворовского сельского Совета народных депутатов не ранее 6 месяцев, с даты заключения договора аренды, могут предоставляться льготы по арендной плате.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5.2.К социально значимым видам деятельности относятся субъекты малого и среднего предпринимательства: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-реализующие проекты в сфере импортозамещения (в соответствии с региональными планами по импортозамещению);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-занимающиеся производством, переработкой или сбытом сельскохозяйственной продукции;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-оказывающие коммунальные и бытовые услуги населению;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-занимающиеся развитием народных художественных промыслов;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color w:val="000000"/>
          <w:kern w:val="2"/>
        </w:rPr>
      </w:pPr>
      <w:r>
        <w:rPr>
          <w:rFonts w:cs="Tahoma"/>
          <w:color w:val="000000"/>
          <w:kern w:val="2"/>
        </w:rPr>
        <w:t>-занимающиеся строительством и реконструкцией объектов социального назначения.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5.3.Льготы по арендной плате субъектам малого и среднего предпринимательства, занимающимся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в первый год аренды – 40 процентов размера арендной платы;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во второй год аренды – 60 процентов арендной платы;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в третий год аренды – 80 процентов арендной платы;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в четвертый год аренды и далее – 100 процентов размера арендной платы.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 xml:space="preserve">5.4.Льготы по арендной плате субъектам малого и среднего предпринимательства предоставляются при соблюдении следующих условий: 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5.5.Заявления о предоставлении льготы субъекты малого и среднего предпринимательства подают в администрацию. К указанному заявлению прилагаются: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>
      <w:pPr>
        <w:pStyle w:val="Normal"/>
        <w:widowControl w:val="false"/>
        <w:bidi w:val="0"/>
        <w:ind w:left="0" w:right="0" w:firstLine="567"/>
        <w:jc w:val="left"/>
        <w:rPr/>
      </w:pPr>
      <w:r>
        <w:rPr>
          <w:rFonts w:cs="Tahoma"/>
          <w:kern w:val="2"/>
        </w:rPr>
        <w:t xml:space="preserve">2) копии учредительных документов субъекта предпринимательской </w:t>
      </w:r>
      <w:r>
        <w:rPr>
          <w:rFonts w:cs="Tahoma"/>
          <w:kern w:val="2"/>
          <w:highlight w:val="white"/>
        </w:rPr>
        <w:t>деятельности.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5.6. Суворовская сельская администрация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>
      <w:pPr>
        <w:pStyle w:val="Normal"/>
        <w:widowControl w:val="false"/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5.7.В целях контроля за целевым использованием имущества, переданного в аренду субъектам малого и среднего предпринимательства, самозанятым и организациям, в заключаемом договоре аренды предусматривается обязанность администрации осуществлять проверки использования имущества не реже одного раза в год.</w:t>
      </w:r>
    </w:p>
    <w:p>
      <w:pPr>
        <w:pStyle w:val="Normal"/>
        <w:widowControl w:val="false"/>
        <w:tabs>
          <w:tab w:val="clear" w:pos="709"/>
          <w:tab w:val="left" w:pos="7200" w:leader="none"/>
        </w:tabs>
        <w:bidi w:val="0"/>
        <w:ind w:left="0" w:right="0" w:firstLine="567"/>
        <w:jc w:val="left"/>
        <w:rPr>
          <w:rFonts w:cs="Tahoma"/>
          <w:kern w:val="2"/>
        </w:rPr>
      </w:pPr>
      <w:r>
        <w:rPr>
          <w:rFonts w:cs="Tahoma"/>
          <w:kern w:val="2"/>
        </w:rPr>
        <w:t>5.8.При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предпринимательства, самозанятых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>
      <w:pPr>
        <w:pStyle w:val="Normal"/>
        <w:widowControl w:val="false"/>
        <w:tabs>
          <w:tab w:val="clear" w:pos="709"/>
          <w:tab w:val="left" w:pos="298" w:leader="none"/>
          <w:tab w:val="left" w:pos="7786" w:leader="underscore"/>
        </w:tabs>
        <w:bidi w:val="0"/>
        <w:ind w:left="0" w:right="46" w:firstLine="425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widowControl w:val="false"/>
        <w:bidi w:val="0"/>
        <w:ind w:left="0" w:right="0" w:firstLine="709"/>
        <w:jc w:val="left"/>
        <w:rPr>
          <w:rFonts w:cs="Tahoma"/>
          <w:kern w:val="2"/>
        </w:rPr>
      </w:pPr>
      <w:r>
        <w:rPr>
          <w:rFonts w:cs="Tahoma"/>
          <w:kern w:val="2"/>
        </w:rPr>
      </w:r>
    </w:p>
    <w:p>
      <w:pPr>
        <w:pStyle w:val="Normal"/>
        <w:bidi w:val="0"/>
        <w:jc w:val="left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bidi w:val="0"/>
        <w:jc w:val="left"/>
        <w:rPr>
          <w:rFonts w:cs="Tahoma"/>
          <w:b/>
          <w:b/>
          <w:kern w:val="2"/>
        </w:rPr>
      </w:pPr>
      <w:r>
        <w:rPr>
          <w:rFonts w:cs="Tahoma"/>
          <w:b/>
          <w:kern w:val="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40" w:hanging="360"/>
      </w:pPr>
      <w:rPr>
        <w:sz w:val="28"/>
        <w:kern w:val="2"/>
        <w:szCs w:val="28"/>
        <w:rFonts w:ascii="Times New Roman" w:hAnsi="Times New Roman" w:cs="Times New Roman"/>
      </w:rPr>
    </w:lvl>
    <w:lvl w:ilvl="1">
      <w:start w:val="0"/>
      <w:numFmt w:val="decimal"/>
      <w:lvlText w:val="%2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lvlText w:val="%3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lvlText w:val="%4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lvlText w:val="%5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lvlText w:val="%6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lvlText w:val="%7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lvlText w:val="%8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lvlText w:val="%9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kern w:val="2"/>
      <w:sz w:val="28"/>
      <w:szCs w:val="28"/>
    </w:rPr>
  </w:style>
  <w:style w:type="character" w:styleId="WW8Num2z1">
    <w:name w:val="WW8Num2z1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F1765A9714380567E07E98FE47723EB6A2920DF9F44B2B3AF2E506FD6ADBF41C124445AD8BC44D4F1GFK" TargetMode="External"/><Relationship Id="rId3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hyperlink" Target="consultantplus://offline/ref=0F1765A9714380567E07E98FE47723EB6A2920DF9F44B2B3AF2E506FD6ADBF41C124445AD8BC44D4F1GFK" TargetMode="External"/><Relationship Id="rId5" Type="http://schemas.openxmlformats.org/officeDocument/2006/relationships/hyperlink" Target="consultantplus://offline/ref=0F1765A9714380567E07E98FE47723EB6A2920DF9F44B2B3AF2E506FD6ADBF41C124445AD8BC44D4F1GFK" TargetMode="Externa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 LibreOffice_project/a64200df03143b798afd1ec74a12ab50359878ed</Application>
  <Pages>8</Pages>
  <Words>2345</Words>
  <CharactersWithSpaces>19851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2020-11-05T17:20:53Z</dcterms:modified>
  <cp:revision>1</cp:revision>
  <dc:subject/>
  <dc:title/>
</cp:coreProperties>
</file>