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bookmarkStart w:id="0" w:name="_GoBack"/>
      <w:bookmarkEnd w:id="0"/>
      <w:r>
        <w:rPr>
          <w:sz w:val="28"/>
          <w:szCs w:val="28"/>
        </w:rPr>
        <w:t>Проект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ПОГАРСКИЙ РАЙОННЫЙ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НАРОДНЫХ ДЕПУТАТОВ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/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от </w:t>
        <w:tab/>
      </w: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 утверждении местных нормативов 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градостроительного проектирования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Погарского района Брянской области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29.1 и 29.4 Градостроительного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руководствуясь Уставом Погарского района, Погарский районный Совет народных депутатов </w:t>
      </w:r>
    </w:p>
    <w:p>
      <w:pPr>
        <w:pStyle w:val="Normal"/>
        <w:tabs>
          <w:tab w:val="left" w:pos="6720" w:leader="none"/>
        </w:tabs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jc w:val="left"/>
        <w:rPr/>
      </w:pPr>
      <w:r>
        <w:rPr>
          <w:b w:val="false"/>
          <w:bCs w:val="false"/>
          <w:sz w:val="28"/>
          <w:szCs w:val="28"/>
        </w:rPr>
        <w:t>РЕШИЛ:</w:t>
      </w:r>
    </w:p>
    <w:p>
      <w:pPr>
        <w:pStyle w:val="ListParagraph"/>
        <w:tabs>
          <w:tab w:val="left" w:pos="709" w:leader="none"/>
        </w:tabs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709" w:leader="none"/>
        </w:tabs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1. Утвердить местные нормативы градостроительного проектирования Пог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арского района Брянской области (Приложение №1).</w:t>
      </w:r>
    </w:p>
    <w:p>
      <w:pPr>
        <w:pStyle w:val="ListParagraph"/>
        <w:tabs>
          <w:tab w:val="left" w:pos="709" w:leader="none"/>
        </w:tabs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2.  Настоящее решение опубликовать </w:t>
      </w:r>
      <w:bookmarkStart w:id="1" w:name="__DdeLink__11483_1882801187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  <w:bookmarkEnd w:id="1"/>
    </w:p>
    <w:p>
      <w:pPr>
        <w:pStyle w:val="ListParagraph"/>
        <w:tabs>
          <w:tab w:val="left" w:pos="709" w:leader="none"/>
        </w:tabs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ListParagraph"/>
        <w:widowControl/>
        <w:overflowPunct w:val="true"/>
        <w:bidi w:val="0"/>
        <w:spacing w:lineRule="auto" w:line="240" w:before="0" w:after="0"/>
        <w:ind w:left="737" w:right="0" w:hanging="794"/>
        <w:contextualSpacing/>
        <w:jc w:val="both"/>
        <w:textAlignment w:val="baseline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ListParagraph"/>
        <w:widowControl/>
        <w:overflowPunct w:val="true"/>
        <w:bidi w:val="0"/>
        <w:spacing w:lineRule="auto" w:line="240" w:before="0" w:after="0"/>
        <w:ind w:left="737" w:right="0" w:hanging="794"/>
        <w:contextualSpacing/>
        <w:jc w:val="both"/>
        <w:textAlignment w:val="baseline"/>
        <w:rPr>
          <w:rStyle w:val="Strong"/>
          <w:rFonts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ru-RU"/>
        </w:rPr>
      </w:r>
    </w:p>
    <w:p>
      <w:pPr>
        <w:pStyle w:val="Normal"/>
        <w:tabs>
          <w:tab w:val="left" w:pos="6720" w:leader="none"/>
        </w:tabs>
        <w:spacing w:lineRule="auto" w:line="240"/>
        <w:ind w:left="426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Погарского района                                                                  Г.В. Агеенко</w:t>
      </w:r>
      <w:r>
        <w:rPr>
          <w:b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Estrangelo Edessa"/>
          <w:sz w:val="28"/>
          <w:szCs w:val="28"/>
        </w:rPr>
      </w:pPr>
      <w:r>
        <w:rPr>
          <w:rFonts w:cs="Estrangelo Edessa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№1</w:t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решению Погарского районного</w:t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Совета народных депутатов </w:t>
      </w:r>
    </w:p>
    <w:p>
      <w:pPr>
        <w:pStyle w:val="ConsPlusNormal1"/>
        <w:spacing w:lineRule="auto" w:line="240"/>
        <w:ind w:left="0" w:hanging="0"/>
        <w:jc w:val="center"/>
        <w:rPr>
          <w:sz w:val="18"/>
          <w:szCs w:val="1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ab/>
        <w:tab/>
        <w:tab/>
        <w:tab/>
        <w:t xml:space="preserve">                         от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Местные нормативы градостроительного проектирования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Погарского района Брянской области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ВВЕДЕНИЕ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2" w:name="_Toc432515924"/>
      <w:r>
        <w:rPr>
          <w:sz w:val="24"/>
          <w:szCs w:val="24"/>
        </w:rPr>
        <w:t>1.1. Общие положения</w:t>
      </w:r>
      <w:bookmarkEnd w:id="2"/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Погарского района Брянской области разработаны в соответствии с требованиями Градостроительного кодекса Российской Федерации, Федерального закона  от 05.05.2014 г. № 131-ФЗ «О внесении изменений в Градостроительный кодекс Российской Федерации», с учетом  региональных нормативов градостроительного проектирования Брянской области.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местных нормативов градостроительного проектирования </w:t>
      </w:r>
      <w:bookmarkStart w:id="3" w:name="__DdeLink__20341_4045865418"/>
      <w:r>
        <w:rPr>
          <w:rFonts w:ascii="Times New Roman" w:hAnsi="Times New Roman"/>
          <w:sz w:val="24"/>
          <w:szCs w:val="24"/>
        </w:rPr>
        <w:t>Погарского</w:t>
      </w:r>
      <w:bookmarkEnd w:id="3"/>
      <w:r>
        <w:rPr>
          <w:rFonts w:ascii="Times New Roman" w:hAnsi="Times New Roman"/>
          <w:sz w:val="24"/>
          <w:szCs w:val="24"/>
        </w:rPr>
        <w:t xml:space="preserve"> района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Погарского района и включения нормативов в систему нормативных документов, регламентирующих градостроительную деятельность на территории Погарского района Брянской области.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входят в систему нормативных правовых актов, регламентирующих градостроительную деятельность в границах Погарского района в части установления стандартов обеспечения безопасности и благоприятных условий жизнедеятельности человека.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градостроительного проектирования Погарского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 кодекса Российской Федерации):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электро- и газоснабжение поселений;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образование;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здравоохранение;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физическая культура и массовый спорт;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утилизация и переработка бытовых и промышленных отходов;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иными объектами местного значения муниципального района, населения Погарского района, и расчетных показателей максимально допустимого уровня территориальной доступности таких объектов для населения Погарского района.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включают в себя: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основную часть (расчетные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образований);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направлены: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обеспечение повышения качества жизни населения муниципальных образований, входящих в состав Погарского района и создание градостроительными средствами условий для обеспечения социальных гарантий, установленных законодательством Российской Федерации, законодательством Брянской области и нормативно-правовыми актами Погарского района, гражданам, включая инвалидов и другие маломобильные группы населения;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повышения эффективности использования территорий в границах Погарского района на основе рационального зонирования, исторически преемственной планировочной организации и застройки;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Погарского района разработаны с учетом административно-территориального устройства Погарского района, социально-демографического состава и плотности населения муниципальных образований на территориях, расположенных в границах Погарского района, природно-климатических условий Погарского района, программ социально-экономического развития Погарского района.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устанавливают требования, обязательные для всех субъектов градостроительных отношений, осуществляющих свою деятельность на территории Погарского района, независимо от их организационно-правовой формы.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Брянской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 </w:t>
      </w:r>
    </w:p>
    <w:p>
      <w:pPr>
        <w:pStyle w:val="Normal"/>
        <w:widowControl w:val="false"/>
        <w:spacing w:lineRule="auto" w:line="240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sz w:val="24"/>
          <w:szCs w:val="24"/>
          <w:highlight w:val="yellow"/>
          <w:lang w:eastAsia="en-US"/>
        </w:rPr>
      </w:r>
      <w:bookmarkStart w:id="4" w:name="Par241"/>
      <w:bookmarkStart w:id="5" w:name="Par162"/>
      <w:bookmarkStart w:id="6" w:name="Par241"/>
      <w:bookmarkStart w:id="7" w:name="Par162"/>
      <w:bookmarkEnd w:id="6"/>
      <w:bookmarkEnd w:id="7"/>
    </w:p>
    <w:p>
      <w:pPr>
        <w:pStyle w:val="NoSpacing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Определение перечня вопросов местного значения</w:t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Погарского района для установления совокупности расчетных</w:t>
      </w:r>
    </w:p>
    <w:p>
      <w:pPr>
        <w:pStyle w:val="NoSpacing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показателей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yellow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значения. 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Определение перечня объектов местного значения муниципального района основывается на утверждении, в соответствии с п.3 ст. 29.2 Градостроительного кодекса РФ.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местных нормативов градостроительного проектирования Погарского района включаются: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>
      <w:pPr>
        <w:pStyle w:val="ConsNormal"/>
        <w:widowControl/>
        <w:numPr>
          <w:ilvl w:val="0"/>
          <w:numId w:val="2"/>
        </w:numPr>
        <w:suppressAutoHyphens w:val="true"/>
        <w:spacing w:lineRule="auto" w:line="24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 ОСНОВНАЯ ЧАСТЬ</w:t>
      </w:r>
    </w:p>
    <w:p>
      <w:pPr>
        <w:pStyle w:val="Normal"/>
        <w:widowControl w:val="false"/>
        <w:spacing w:lineRule="auto" w:line="240"/>
        <w:ind w:firstLine="709"/>
        <w:jc w:val="center"/>
        <w:rPr>
          <w:rFonts w:ascii="Times New Roman" w:hAnsi="Times New Roman"/>
          <w:b/>
          <w:b/>
          <w:sz w:val="24"/>
          <w:szCs w:val="24"/>
          <w:highlight w:val="yellow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Погарского</w:t>
      </w:r>
      <w:r>
        <w:rPr>
          <w:sz w:val="24"/>
          <w:szCs w:val="24"/>
        </w:rPr>
        <w:t xml:space="preserve"> района Брянской области</w:t>
      </w:r>
      <w:r>
        <w:rPr>
          <w:bCs/>
          <w:color w:val="000000"/>
          <w:sz w:val="24"/>
          <w:szCs w:val="24"/>
        </w:rPr>
        <w:t>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8" w:name="_Toc474936728"/>
      <w:r>
        <w:rPr>
          <w:sz w:val="24"/>
          <w:szCs w:val="24"/>
        </w:rPr>
        <w:t>2.1 Расчетные показатели, устанавливаемые для объектов местного значения в области жилищного строительства</w:t>
      </w:r>
      <w:bookmarkEnd w:id="8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2.1.1 Показатели минимального уровня жилищной обеспеченности (метров квадратных на 1 человека)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Показатели жилищной обеспеченности </w:t>
      </w:r>
      <w:r>
        <w:rPr>
          <w:bCs/>
          <w:color w:val="000000"/>
          <w:sz w:val="24"/>
          <w:szCs w:val="24"/>
        </w:rPr>
        <w:t>для Погарского</w:t>
      </w:r>
      <w:r>
        <w:rPr>
          <w:sz w:val="24"/>
          <w:szCs w:val="24"/>
        </w:rPr>
        <w:t xml:space="preserve"> района принимаются в соответствии с таблицей 2.1.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2.1.</w:t>
      </w:r>
    </w:p>
    <w:tbl>
      <w:tblPr>
        <w:tblW w:w="9285" w:type="dxa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7"/>
        <w:gridCol w:w="4038"/>
        <w:gridCol w:w="1410"/>
        <w:gridCol w:w="1380"/>
        <w:gridCol w:w="1470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-3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2030 год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приходящаяся в среднем на одного жителя муниципального района, кв. м на человека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-3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right="-38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i/>
          <w:i/>
          <w:iCs/>
        </w:rPr>
      </w:pPr>
      <w:r>
        <w:rPr>
          <w:b/>
          <w:iCs/>
          <w:sz w:val="24"/>
          <w:szCs w:val="24"/>
        </w:rPr>
        <w:t>2.1.2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>
      <w:pPr>
        <w:pStyle w:val="Normal"/>
        <w:spacing w:lineRule="auto" w:line="240"/>
        <w:ind w:right="282" w:firstLine="709"/>
        <w:jc w:val="both"/>
        <w:rPr>
          <w:iCs/>
        </w:rPr>
      </w:pPr>
      <w:r>
        <w:rPr>
          <w:iCs/>
          <w:sz w:val="24"/>
          <w:szCs w:val="24"/>
        </w:rPr>
        <w:t>Не устанавливается.</w:t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2.1.3 Максимальная высота  и этажность проектируемых жилых зданий  </w:t>
      </w:r>
      <w:r>
        <w:rPr>
          <w:sz w:val="24"/>
          <w:szCs w:val="24"/>
        </w:rPr>
        <w:t>устанавливается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2.1.4  </w:t>
      </w:r>
      <w:r>
        <w:rPr>
          <w:b/>
          <w:sz w:val="24"/>
          <w:szCs w:val="24"/>
        </w:rPr>
        <w:t>Удельные размеры площадок различного функционального назначения</w:t>
      </w:r>
      <w:r>
        <w:rPr>
          <w:sz w:val="24"/>
          <w:szCs w:val="24"/>
        </w:rPr>
        <w:t>, размещаемых на межмагистральной территории (в кварталах) многоквартирной застройки, следует принимать по таблице 2.2.</w:t>
      </w:r>
    </w:p>
    <w:p>
      <w:pPr>
        <w:pStyle w:val="Normal"/>
        <w:spacing w:lineRule="auto" w:line="24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2.2</w:t>
      </w:r>
    </w:p>
    <w:tbl>
      <w:tblPr>
        <w:tblW w:w="940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0" w:firstColumn="1" w:lastColumn="0" w:noHBand="0" w:val="00bf"/>
      </w:tblPr>
      <w:tblGrid>
        <w:gridCol w:w="790"/>
        <w:gridCol w:w="2495"/>
        <w:gridCol w:w="2697"/>
        <w:gridCol w:w="1680"/>
        <w:gridCol w:w="1743"/>
      </w:tblGrid>
      <w:tr>
        <w:trPr>
          <w:trHeight w:val="1500" w:hRule="atLeast"/>
          <w:cantSplit w:val="true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Удельный размер 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территории, 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/чел.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размер одной площадки, 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>
        <w:trPr>
          <w:trHeight w:val="903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игр детей  дошкольного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младшего школьного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отдыха взрослого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40/10*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хозяйственных целей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выгула собак)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925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iCs/>
              </w:rPr>
            </w:pPr>
            <w:r>
              <w:rPr>
                <w:sz w:val="24"/>
                <w:szCs w:val="24"/>
              </w:rPr>
              <w:t>Для стоянки автомашин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 (18)**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в соответствии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с СанПиН 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2.2.1/2.1.1.1200</w:t>
            </w:r>
          </w:p>
        </w:tc>
      </w:tr>
      <w:tr>
        <w:trPr>
          <w:trHeight w:val="5379" w:hRule="atLeast"/>
          <w:cantSplit w:val="true"/>
        </w:trPr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6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 В знаменателе – если шумовые характеристики на спортплощадках не создают превышения уровня шума в помещениях (при использовании крытых площадок или при установке площадок для настольного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тенниса).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** В скобках – при примыкании участков для стоянки к проезжей части улиц и проездов. 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Примечания: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а)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б)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в)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b/>
          <w:b/>
        </w:rPr>
      </w:pPr>
      <w:r>
        <w:rPr>
          <w:b/>
          <w:sz w:val="24"/>
          <w:szCs w:val="24"/>
        </w:rPr>
        <w:t xml:space="preserve">2.1.5 Требования к </w:t>
      </w:r>
      <w:r>
        <w:rPr>
          <w:b/>
          <w:spacing w:val="-3"/>
          <w:sz w:val="24"/>
          <w:szCs w:val="24"/>
        </w:rPr>
        <w:t xml:space="preserve">размерам земельных участков и </w:t>
      </w:r>
      <w:r>
        <w:rPr>
          <w:b/>
          <w:sz w:val="24"/>
          <w:szCs w:val="24"/>
        </w:rPr>
        <w:t xml:space="preserve">параметрам разрешенного </w:t>
      </w:r>
      <w:r>
        <w:rPr>
          <w:b/>
          <w:spacing w:val="-2"/>
          <w:sz w:val="24"/>
          <w:szCs w:val="24"/>
        </w:rPr>
        <w:t>строительства, реконструкции объектов капитального строительства в зоне индивидуальной жилой застройки</w:t>
      </w:r>
      <w:r>
        <w:rPr>
          <w:b/>
          <w:sz w:val="24"/>
          <w:szCs w:val="24"/>
        </w:rPr>
        <w:t>.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До границы соседнего приквартирного участка расстояния по санитарно-бытовым ус</w:t>
        <w:softHyphen/>
        <w:t xml:space="preserve">ловиям должны быть не менее: от одноквартирного жилого дома — 3 м </w:t>
      </w:r>
      <w:r>
        <w:rPr>
          <w:sz w:val="24"/>
          <w:szCs w:val="24"/>
        </w:rPr>
        <w:t xml:space="preserve">с учетом требований п. 4.1.5 СП 30-102-99; </w:t>
      </w:r>
      <w:r>
        <w:rPr>
          <w:spacing w:val="-4"/>
          <w:sz w:val="24"/>
          <w:szCs w:val="2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</w:t>
        <w:softHyphen/>
        <w:t>тарника — 1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 xml:space="preserve">Постройки для содержания скота и птицы </w:t>
      </w:r>
      <w:r>
        <w:rPr>
          <w:sz w:val="24"/>
          <w:szCs w:val="24"/>
        </w:rPr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Вспомогательные строения, за исключением гаражей, размещать со стороны улицы не допускается.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Расстояние</w:t>
      </w:r>
      <w:r>
        <w:rPr>
          <w:sz w:val="24"/>
          <w:szCs w:val="24"/>
        </w:rPr>
        <w:t xml:space="preserve"> от окон жилого здания до хозяйственных построек, расположенных на соседнем участке – не менее 10 м.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 отсутствии централизованной канализации расстояние от туалета до стен соседнего дома необходимо принимать не менее 12 м.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9" w:name="_Toc474936729"/>
      <w:r>
        <w:rPr>
          <w:sz w:val="24"/>
          <w:szCs w:val="24"/>
        </w:rPr>
        <w:t>2.2 Расчетные показатели, устанавливаемые для объектов местного значения в области образования</w:t>
      </w:r>
      <w:bookmarkEnd w:id="9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2.2.1 Дошкольное образование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Cs/>
        </w:rPr>
      </w:pPr>
      <w:r>
        <w:rPr>
          <w:color w:val="000000"/>
          <w:sz w:val="24"/>
          <w:szCs w:val="24"/>
        </w:rPr>
        <w:t>При проектировании объектов дошкольного образования необходимо руководствоваться расчетными показателями таблицы 2.3.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2.3</w:t>
      </w:r>
    </w:p>
    <w:tbl>
      <w:tblPr>
        <w:tblW w:w="93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2"/>
        <w:gridCol w:w="2017"/>
        <w:gridCol w:w="1529"/>
        <w:gridCol w:w="2445"/>
        <w:gridCol w:w="1767"/>
        <w:gridCol w:w="1009"/>
      </w:tblGrid>
      <w:tr>
        <w:trPr>
          <w:tblHeader w:val="true"/>
          <w:trHeight w:val="778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47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53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мест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организациями, </w:t>
            </w:r>
            <w:r>
              <w:rPr>
                <w:bCs/>
                <w:color w:val="000000"/>
                <w:sz w:val="24"/>
                <w:szCs w:val="24"/>
              </w:rPr>
              <w:t>но не менее 66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450** 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а) (*)о</w:t>
      </w:r>
      <w:r>
        <w:rPr>
          <w:bCs/>
          <w:color w:val="000000"/>
          <w:sz w:val="24"/>
          <w:szCs w:val="24"/>
        </w:rPr>
        <w:t>бъектами дошкольного образования должны быть обеспеченны в городском поселении – 90-95 % численности детей дошкольного возраста, в сельских поселениях – 80-85 % численности детей дошкольного возраста.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б) (**)</w:t>
      </w:r>
      <w:r>
        <w:rPr>
          <w:sz w:val="24"/>
          <w:szCs w:val="24"/>
        </w:rPr>
        <w:t>возможна подвозка автобусами специального назначения «дошкольные» – не более 30 минут в одну сторону.</w:t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2.2.2 Школьное образование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rPr>
          <w:u w:val="single"/>
        </w:rPr>
      </w:pPr>
      <w:r>
        <w:rPr>
          <w:sz w:val="24"/>
          <w:szCs w:val="24"/>
        </w:rPr>
        <w:t>При проектировании объектов общего образования необходимо руководствоваться расчетными показателями таблицы 2.4.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680"/>
        <w:contextualSpacing/>
        <w:jc w:val="right"/>
        <w:rPr/>
      </w:pPr>
      <w:r>
        <w:rPr>
          <w:color w:val="000000"/>
          <w:sz w:val="24"/>
          <w:szCs w:val="24"/>
        </w:rPr>
        <w:t>Таблица 2.4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7"/>
        <w:gridCol w:w="2166"/>
        <w:gridCol w:w="3632"/>
        <w:gridCol w:w="1310"/>
        <w:gridCol w:w="1276"/>
        <w:gridCol w:w="1131"/>
      </w:tblGrid>
      <w:tr>
        <w:trPr>
          <w:trHeight w:val="778" w:hRule="atLeas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684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учащихся 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96*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500*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>
        <w:trPr>
          <w:trHeight w:val="70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Школы-интернаты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проектирование, </w:t>
            </w:r>
          </w:p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но не менее 0,6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>
        <w:trPr>
          <w:trHeight w:val="83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Учреждения</w:t>
            </w:r>
          </w:p>
          <w:p>
            <w:pPr>
              <w:pStyle w:val="Normal"/>
              <w:spacing w:lineRule="auto" w:line="240"/>
              <w:ind w:left="57" w:right="-57" w:hanging="0"/>
              <w:jc w:val="center"/>
              <w:rPr>
                <w:bCs/>
                <w:spacing w:val="-4"/>
              </w:rPr>
            </w:pPr>
            <w:r>
              <w:rPr>
                <w:bCs/>
                <w:sz w:val="24"/>
                <w:szCs w:val="24"/>
              </w:rPr>
              <w:t>начального</w:t>
            </w:r>
          </w:p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pacing w:val="-4"/>
                <w:sz w:val="24"/>
                <w:szCs w:val="24"/>
              </w:rPr>
              <w:t>профессионального</w:t>
            </w:r>
            <w:r>
              <w:rPr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проектирование,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12,3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Учреждения </w:t>
            </w:r>
          </w:p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среднего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11,9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Образовательные организа-ции высшего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14,9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Внешкольные учреждения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10 % от общего числа школьников, в том чис-ле по видам зданий, %:</w:t>
            </w:r>
          </w:p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дом детского творчест- ва – 3,3; станция юных техников – 0,9; станция юных натуралистов – 0,4; станция юных ту-ристов – 0,4; детско-юношеская спортивная школа – 2,3; детская школа искусств или музыкальная, художественная, хореографическая школа – 2,7.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/>
        <w:ind w:firstLine="70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а) (*) показатель для Погарского городского поселения, для сельских поселений района – </w:t>
      </w:r>
      <w:r>
        <w:rPr>
          <w:sz w:val="24"/>
          <w:szCs w:val="24"/>
        </w:rPr>
        <w:t>78 мест на 1 000 жителей.</w:t>
      </w:r>
    </w:p>
    <w:p>
      <w:pPr>
        <w:pStyle w:val="Normal"/>
        <w:spacing w:lineRule="auto" w:line="240"/>
        <w:ind w:firstLine="70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б) (**) для общеобразовательных организаций</w:t>
      </w:r>
      <w:r>
        <w:rPr>
          <w:rFonts w:cs="Calibri"/>
          <w:color w:val="000000"/>
          <w:sz w:val="24"/>
          <w:szCs w:val="24"/>
        </w:rPr>
        <w:t xml:space="preserve"> при малоэтажной застройке </w:t>
      </w:r>
      <w:r>
        <w:rPr>
          <w:sz w:val="24"/>
          <w:szCs w:val="24"/>
        </w:rPr>
        <w:t>транспортная доступность – подвозка автобусами специального назначения «школьные» – не более 30 минут в одну сторону.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0" w:name="_Toc474936730"/>
      <w:r>
        <w:rPr>
          <w:sz w:val="24"/>
          <w:szCs w:val="24"/>
        </w:rPr>
        <w:t>2.3 Расчетные показатели, устанавливаемые для объектов местного значения в области здравоохранения</w:t>
      </w:r>
      <w:bookmarkEnd w:id="10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проектировании объектов здравоохранения необходимо руководствоваться расчетными показателями таблицы 2.5. </w:t>
      </w:r>
    </w:p>
    <w:p>
      <w:pPr>
        <w:pStyle w:val="NoSpacing"/>
        <w:spacing w:lineRule="auto" w:line="240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2.5</w:t>
      </w:r>
    </w:p>
    <w:tbl>
      <w:tblPr>
        <w:tblW w:w="9870" w:type="dxa"/>
        <w:jc w:val="left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3"/>
        <w:gridCol w:w="2133"/>
        <w:gridCol w:w="1536"/>
        <w:gridCol w:w="3002"/>
        <w:gridCol w:w="1283"/>
        <w:gridCol w:w="1222"/>
      </w:tblGrid>
      <w:tr>
        <w:trPr>
          <w:trHeight w:val="778" w:hRule="atLeast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Стационары всех типов с вспомога-тельными зданиями и сооружениями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заданию на     </w:t>
              <w:br/>
              <w:t>проектирование, опреде-ляемому органами здравоохранения, но не менее 14.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расстояние между медицинскими организациями - 15 км.*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посещений в смену на 1 тыс. жителей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заданию на     </w:t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Фельдшерский       </w:t>
              <w:br/>
              <w:t xml:space="preserve">или фельдшерско-   </w:t>
              <w:br/>
              <w:t>акушерский пункт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объект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заданию на проектирование, но не менее 1 на населенный пункт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  <w:tr>
        <w:trPr>
          <w:trHeight w:val="83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составе ФАП, но не менее 1 на населенный пункт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</w:tbl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Примечание 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1" w:name="_Toc474936731"/>
      <w:r>
        <w:rPr>
          <w:sz w:val="24"/>
          <w:szCs w:val="24"/>
        </w:rPr>
        <w:t>2.4 Расчетные показатели, устанавливаемые для объектов местного значения в области физической культуры и спорта</w:t>
      </w:r>
      <w:bookmarkEnd w:id="11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2.6.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2.6</w:t>
      </w:r>
    </w:p>
    <w:tbl>
      <w:tblPr>
        <w:tblW w:w="9690" w:type="dxa"/>
        <w:jc w:val="left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2585"/>
        <w:gridCol w:w="2552"/>
        <w:gridCol w:w="1138"/>
        <w:gridCol w:w="2"/>
        <w:gridCol w:w="1755"/>
        <w:gridCol w:w="957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19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Спортивный зал общего пользова-ния в физкультурно-спортивном центре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56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>
        <w:trPr>
          <w:trHeight w:val="413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2" w:name="_Toc474936732"/>
      <w:r>
        <w:rPr>
          <w:sz w:val="24"/>
          <w:szCs w:val="24"/>
        </w:rPr>
        <w:t>2.5 Расчетные показатели, устанавливаемые для объектов местного значения в области культуры и социального обеспечения</w:t>
      </w:r>
      <w:bookmarkEnd w:id="12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2.5.1 Объекты культуры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color w:val="000000"/>
          <w:sz w:val="24"/>
          <w:szCs w:val="24"/>
        </w:rPr>
        <w:t xml:space="preserve">Проектирование объектов культуры осуществляется с учетом таблицы 2.7.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2.7</w:t>
      </w:r>
    </w:p>
    <w:tbl>
      <w:tblPr>
        <w:tblW w:w="9585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9"/>
        <w:gridCol w:w="2977"/>
        <w:gridCol w:w="1709"/>
        <w:gridCol w:w="1397"/>
        <w:gridCol w:w="1"/>
        <w:gridCol w:w="1789"/>
        <w:gridCol w:w="1132"/>
      </w:tblGrid>
      <w:tr>
        <w:trPr>
          <w:tblHeader w:val="true"/>
          <w:trHeight w:val="20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20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1656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общей площади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984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сельских поселений или их групп, тыс. чел.: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0,2 до 1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 до 3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 до 5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 до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300-230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230-190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190-140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093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Общедоступная универсальная библиотека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10 тыс. человек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/транспортная доступность (минут)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9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Общедоступная библиотека с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детским отделением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57" w:hanging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4"/>
                <w:szCs w:val="24"/>
              </w:rPr>
              <w:t>Юношеская библиотека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1 объект на муниципальный район, расположенный в административном центре района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  <w:sz w:val="24"/>
          <w:szCs w:val="24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2.5.2 Объекты общественного питания, торговли и бытового обслуживания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Проектирование объектов общественного питания, торговли и бытового обслуживания осуществляется с учетом таблицы 2.8.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2.8</w:t>
      </w:r>
    </w:p>
    <w:tbl>
      <w:tblPr>
        <w:tblW w:w="9624" w:type="dxa"/>
        <w:jc w:val="left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2"/>
        <w:gridCol w:w="2838"/>
        <w:gridCol w:w="2127"/>
        <w:gridCol w:w="870"/>
        <w:gridCol w:w="2"/>
        <w:gridCol w:w="1966"/>
        <w:gridCol w:w="1178"/>
      </w:tblGrid>
      <w:tr>
        <w:trPr>
          <w:tblHeader w:val="true"/>
          <w:trHeight w:val="778" w:hRule="atLeast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534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550" w:hRule="atLeast"/>
        </w:trPr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Объекты общественного питания, торговли и бытового обслуживания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квартального (микрорайонного) значения</w:t>
            </w:r>
          </w:p>
        </w:tc>
      </w:tr>
      <w:tr>
        <w:trPr>
          <w:trHeight w:val="416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Магазин продоволь-ственных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торговой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площади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  <w:p>
            <w:pPr>
              <w:pStyle w:val="Normal"/>
              <w:spacing w:lineRule="auto" w:line="240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836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Магазин непродоволь-ственных товаров повседневного спроса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торговой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площади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546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2116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Предприятие бытового обслуживания.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непосредственного обслуживания населения: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рабочее место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561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red"/>
              </w:rPr>
            </w:pPr>
            <w:r>
              <w:rPr>
                <w:sz w:val="24"/>
                <w:szCs w:val="24"/>
              </w:rPr>
              <w:t>не устанавливаются</w:t>
            </w:r>
          </w:p>
        </w:tc>
      </w:tr>
      <w:tr>
        <w:trPr>
          <w:trHeight w:val="541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Банки, операционные кассы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red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>
        <w:trPr>
          <w:trHeight w:val="541" w:hRule="atLeast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Рынки, ярмарки, базары*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Почта/отделение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объект/населенный пункт при населении более 300 человек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</w:tbl>
    <w:p>
      <w:pPr>
        <w:pStyle w:val="4"/>
        <w:spacing w:lineRule="auto" w:line="24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z w:val="24"/>
          <w:szCs w:val="24"/>
        </w:rPr>
        <w:t xml:space="preserve">Примечание (*) На рынках без канализации </w:t>
      </w:r>
      <w:bookmarkStart w:id="13" w:name="fts_hit2"/>
      <w:bookmarkEnd w:id="13"/>
      <w:r>
        <w:rPr>
          <w:rStyle w:val="Ftshit"/>
          <w:rFonts w:ascii="Times New Roman" w:hAnsi="Times New Roman"/>
          <w:b w:val="false"/>
          <w:i w:val="false"/>
          <w:color w:val="auto"/>
          <w:sz w:val="24"/>
          <w:szCs w:val="24"/>
        </w:rPr>
        <w:t>общественные туалеты</w:t>
      </w:r>
      <w:r>
        <w:rPr>
          <w:rFonts w:ascii="Times New Roman" w:hAnsi="Times New Roman"/>
          <w:b w:val="false"/>
          <w:i w:val="false"/>
          <w:color w:val="auto"/>
          <w:sz w:val="24"/>
          <w:szCs w:val="24"/>
        </w:rPr>
        <w:t xml:space="preserve">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 w:val="28"/>
          <w:szCs w:val="28"/>
        </w:rPr>
      </w:pPr>
      <w:bookmarkStart w:id="14" w:name="_Toc474936733"/>
      <w:r>
        <w:rPr>
          <w:b/>
          <w:sz w:val="24"/>
          <w:szCs w:val="24"/>
        </w:rPr>
        <w:t>2.6 Расчетные показатели, устанавливаемые для объектов местного значения в области рекреации</w:t>
      </w:r>
      <w:bookmarkEnd w:id="14"/>
    </w:p>
    <w:p>
      <w:pPr>
        <w:pStyle w:val="NoSpacing"/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объектов отдыха необходимо руководствоваться расчетными показателями таблицы 2.9.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2.9</w:t>
      </w:r>
    </w:p>
    <w:tbl>
      <w:tblPr>
        <w:tblW w:w="9690" w:type="dxa"/>
        <w:jc w:val="left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2135"/>
        <w:gridCol w:w="2550"/>
        <w:gridCol w:w="1757"/>
        <w:gridCol w:w="1"/>
        <w:gridCol w:w="1421"/>
        <w:gridCol w:w="1"/>
        <w:gridCol w:w="1124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отдыха*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1200-1500 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89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Сады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firstLine="112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400-600 м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и более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300-400</w:t>
            </w:r>
          </w:p>
        </w:tc>
      </w:tr>
    </w:tbl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Примечания:</w:t>
      </w:r>
    </w:p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а) (*) зоны отдыха формируемые на базе озелененных территорий общего пользования, природных и искусственных водоемов.</w:t>
      </w:r>
    </w:p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б)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5" w:name="_Toc474936734"/>
      <w:r>
        <w:rPr>
          <w:sz w:val="24"/>
          <w:szCs w:val="24"/>
        </w:rPr>
        <w:t>2.7 Расчетные показатели, устанавливаемые для объектов местного значения в области энергетики и инженерной инфраструктуры</w:t>
      </w:r>
      <w:bookmarkEnd w:id="15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2.7.1 Расчетные показатели объектов, относящихся к области электроснабжения</w:t>
      </w:r>
    </w:p>
    <w:p>
      <w:pPr>
        <w:pStyle w:val="Normal"/>
        <w:spacing w:lineRule="auto" w:line="240"/>
        <w:ind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Проектирование электрических сетей распространяется на вновь сооружаемые и реконструируемые электрические сети Погарского района, в том числе на электрические сети к отдельным объектам, находящимся на территории поселений Погарского района, независимо от их ведомственной принадлежности согласно таблице 2.10.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Таблица 2.10</w:t>
      </w:r>
    </w:p>
    <w:tbl>
      <w:tblPr>
        <w:tblW w:w="9750" w:type="dxa"/>
        <w:jc w:val="left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9"/>
        <w:gridCol w:w="4697"/>
        <w:gridCol w:w="1654"/>
        <w:gridCol w:w="2699"/>
      </w:tblGrid>
      <w:tr>
        <w:trPr>
          <w:trHeight w:val="778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(Наименование ресурса)*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>
        <w:trPr>
          <w:trHeight w:val="77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482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Электроэнергия, электропотребление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>
        <w:trPr>
          <w:trHeight w:val="66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>
        <w:trPr>
          <w:trHeight w:val="836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ч/год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>
        <w:trPr>
          <w:trHeight w:val="83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ч/год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>
        <w:trPr>
          <w:trHeight w:val="41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нагрузки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/>
        <w:ind w:firstLine="540"/>
        <w:jc w:val="both"/>
        <w:rPr>
          <w:u w:val="single"/>
        </w:rPr>
      </w:pPr>
      <w:r>
        <w:rPr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sz w:val="24"/>
          <w:szCs w:val="24"/>
        </w:rPr>
        <w:t xml:space="preserve">б) условия применения стационарных электроплит в жилой застройке принимать в соответствии с </w:t>
      </w:r>
      <w:hyperlink r:id="rId2">
        <w:r>
          <w:rPr>
            <w:rStyle w:val="ListLabel32"/>
            <w:sz w:val="24"/>
            <w:szCs w:val="24"/>
          </w:rPr>
          <w:t>СП 54.13330</w:t>
        </w:r>
      </w:hyperlink>
      <w:r>
        <w:rPr>
          <w:sz w:val="24"/>
          <w:szCs w:val="24"/>
        </w:rPr>
        <w:t>.2011.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</w:t>
      </w:r>
      <w:r>
        <w:rPr>
          <w:rFonts w:cs="Courier New"/>
          <w:sz w:val="24"/>
          <w:szCs w:val="24"/>
        </w:rPr>
        <w:t>(*)</w:t>
      </w:r>
      <w:r>
        <w:rPr>
          <w:sz w:val="24"/>
          <w:szCs w:val="24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2.7.2 Расчетные показатели объектов, относящихся к области тепло-, газоснабжения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газораспределительных систем на территории Погарского района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Норма потребления газа определяется по таблице 2.11.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2.11</w:t>
      </w:r>
    </w:p>
    <w:tbl>
      <w:tblPr>
        <w:tblW w:w="924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4394"/>
        <w:gridCol w:w="1701"/>
        <w:gridCol w:w="2577"/>
      </w:tblGrid>
      <w:tr>
        <w:trPr>
          <w:trHeight w:val="77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>
        <w:trPr>
          <w:trHeight w:val="60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66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>
        <w:trPr>
          <w:trHeight w:val="7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>
        <w:trPr>
          <w:trHeight w:val="68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Природный газ, </w:t>
            </w:r>
            <w:r>
              <w:rPr>
                <w:rFonts w:cs="Calibri"/>
                <w:color w:val="000000"/>
                <w:sz w:val="24"/>
                <w:szCs w:val="24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Тепловая нагрузка,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2.7.3 Расчетные показатели объектов, относящихся к области водоснабжения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систем водоснабжения на территории Погарского района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Норма водопотребления  определяется по таблице 2.12.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2.12</w:t>
      </w:r>
    </w:p>
    <w:tbl>
      <w:tblPr>
        <w:tblW w:w="9690" w:type="dxa"/>
        <w:jc w:val="lef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930"/>
        <w:gridCol w:w="2759"/>
      </w:tblGrid>
      <w:tr>
        <w:trPr>
          <w:tblHeader w:val="true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Hopмы расхода воды (в том числе горячей), м³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человека в год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Многоквартирные жилые дома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2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ваннами длиной от 1500 до 1700 мм, оборудованными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24,91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Гостиницы с общими ваннами 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11,96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Поликлиники, поликлиники специализированные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4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4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Банки, административные здания для размещения административных помещений и офисов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>
              <w:rPr>
                <w:sz w:val="24"/>
                <w:szCs w:val="24"/>
              </w:rPr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Рестораны, бары, кафе, предприятия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питания, закусочные,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столовые,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кулинарии, предприятия питания в жилых зданиях, расположенных по красной линии застройки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приготовления пищи: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5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реализуемой в обеденном зале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5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продаваемой на дом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-8" w:right="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общей площадью               100-500 кв.м, магазины общей площадью                   до 100 кв.м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-8" w:right="6" w:hanging="0"/>
              <w:rPr/>
            </w:pPr>
            <w:r>
              <w:rPr>
                <w:sz w:val="24"/>
                <w:szCs w:val="24"/>
              </w:rPr>
              <w:t>Автосалоны, совмещенные с мастерскими,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автомойками гарантийного и предпродажного обслуживания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Дома быта, ателье, пункты проката, химчистки, ремонт обуви, фотоателье,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парикмахерские, ритуальные услуги, ремонтные мастерские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Клубные, досугово-развлекательные и религиозные учреждения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Стадионы и спортзалы: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зрителей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спортсменов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2.7.4 Расчетные показатели объектов, относящихся к области водоотведения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проектировании систем водоотведения на территории Погарского района удельное среднесуточное (за год) водоотведение должно приниматься по таблице 2.13. 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2.13</w:t>
      </w:r>
    </w:p>
    <w:tbl>
      <w:tblPr>
        <w:tblW w:w="964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2"/>
        <w:gridCol w:w="3552"/>
        <w:gridCol w:w="1845"/>
        <w:gridCol w:w="1273"/>
        <w:gridCol w:w="3"/>
        <w:gridCol w:w="1423"/>
        <w:gridCol w:w="846"/>
      </w:tblGrid>
      <w:tr>
        <w:trPr>
          <w:trHeight w:val="778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водопотебления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водопотребления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Дождевая канализация. </w:t>
            </w:r>
            <w:r>
              <w:rPr>
                <w:rStyle w:val="Style13"/>
                <w:sz w:val="24"/>
                <w:szCs w:val="24"/>
              </w:rPr>
              <w:t>Суточный  объем  поверхностного стока, поступающий   на  очистные сооружения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сут. с 1 га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16" w:name="_Toc474936735"/>
      <w:r>
        <w:rPr>
          <w:b/>
          <w:sz w:val="24"/>
          <w:szCs w:val="24"/>
        </w:rPr>
        <w:t>2.8 Расчетные показатели, устанавливаемые для объектов местного значения в области автомобильных дорог местного значения</w:t>
      </w:r>
      <w:bookmarkEnd w:id="16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2.14.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2.14</w:t>
      </w:r>
    </w:p>
    <w:tbl>
      <w:tblPr>
        <w:tblW w:w="94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6"/>
        <w:gridCol w:w="3403"/>
        <w:gridCol w:w="2819"/>
        <w:gridCol w:w="2286"/>
      </w:tblGrid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одного или нескольких видов объектов местного значения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80% общей протяженности автомобильных дорог местного значения вне границ населенных пунктов в границах муниципального района с твердым покрытием, находящимся на балансе муниципального образования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Пешеходный переход (наземный, надземный, подземный)</w:t>
            </w:r>
          </w:p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Разделительное ограждение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Определяется проектом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Определяется проектом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Автобусные остановки с элементами по ОСТ 218.1.002-2003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доступность не более 30 мин.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Ниже показаны типовые поперечные профили дорог для территории сельских и городских поселений Погарского района: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/>
        <w:jc w:val="center"/>
        <w:rPr>
          <w:sz w:val="28"/>
        </w:rPr>
      </w:pPr>
      <w:r>
        <w:rPr/>
        <w:drawing>
          <wp:inline distT="0" distB="0" distL="0" distR="0">
            <wp:extent cx="3028950" cy="3228975"/>
            <wp:effectExtent l="0" t="0" r="0" b="0"/>
            <wp:docPr id="1" name="Рисунок 4" descr="http://images.znaytovar.ru/images/text/941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images.znaytovar.ru/images/text/9416.files/image021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1 - проезжая часть; 2 – озеленение.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7" w:name="_Toc474936736"/>
      <w:r>
        <w:rPr>
          <w:sz w:val="24"/>
          <w:szCs w:val="24"/>
        </w:rPr>
        <w:t>2.8.1 Расчетные показатели, устанавливаемые для объектов местного значения в области транспорта</w:t>
      </w:r>
      <w:bookmarkEnd w:id="17"/>
    </w:p>
    <w:p>
      <w:pPr>
        <w:pStyle w:val="NoSpacing"/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объектов местного значения в области транспорта необходимо руководствоваться расчетными показателями таблицы 2.15.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2.15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58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551"/>
        <w:gridCol w:w="1846"/>
        <w:gridCol w:w="1273"/>
        <w:gridCol w:w="3"/>
        <w:gridCol w:w="1424"/>
        <w:gridCol w:w="787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станции технического обслуживания автомобилей (СТО)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пост СТО на 200 легковых автомобилей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автозаправочные станции (АЗС)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топливораздаточная колонка на 1200 легковых автомобилей</w:t>
            </w:r>
          </w:p>
        </w:tc>
        <w:tc>
          <w:tcPr>
            <w:tcW w:w="22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4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18" w:name="_Toc474936737"/>
      <w:r>
        <w:rPr>
          <w:b/>
          <w:sz w:val="24"/>
          <w:szCs w:val="24"/>
        </w:rPr>
        <w:t>2.9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</w:r>
      <w:bookmarkEnd w:id="18"/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Объекты, имеющих промышленное и коммунально-складское значение, объекты сельскохозяйственного  назначения для поселений Погарского района объединены в  производственную зону.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>
      <w:pPr>
        <w:pStyle w:val="Style27"/>
        <w:spacing w:lineRule="auto" w:line="24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передвижения.</w:t>
      </w:r>
    </w:p>
    <w:p>
      <w:pPr>
        <w:pStyle w:val="Style27"/>
        <w:spacing w:lineRule="auto" w:line="240"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sz w:val="24"/>
          <w:szCs w:val="24"/>
        </w:rPr>
        <w:t>Производственную зону поселения следует располагать по возможности с подветренной стороны по отношению к жилой зоне и ниже по рельефу местности.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4"/>
          <w:szCs w:val="24"/>
        </w:rPr>
        <w:t xml:space="preserve">Санитарно-защитные зоны от промышленных и коммунально-складских предприятий </w:t>
      </w:r>
      <w:r>
        <w:rPr>
          <w:color w:val="000000"/>
          <w:sz w:val="24"/>
          <w:szCs w:val="24"/>
        </w:rPr>
        <w:t xml:space="preserve"> назначаются согласно нормативными показателями таблицы 2.16.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2.16</w:t>
      </w:r>
    </w:p>
    <w:tbl>
      <w:tblPr>
        <w:tblW w:w="9750" w:type="dxa"/>
        <w:jc w:val="left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80"/>
        <w:gridCol w:w="6597"/>
        <w:gridCol w:w="1873"/>
      </w:tblGrid>
      <w:tr>
        <w:trPr>
          <w:tblHeader w:val="true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8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88" w:firstLine="7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предприятия,</w:t>
            </w:r>
          </w:p>
          <w:p>
            <w:pPr>
              <w:pStyle w:val="BodyTextIndent3"/>
              <w:spacing w:lineRule="auto" w:line="240" w:before="0" w:after="0"/>
              <w:ind w:left="0" w:right="88" w:firstLine="7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42" w:firstLine="293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Размер СЗЗ, м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7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77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Промышленные объекты и производства(м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Промышленные объекты и производства  (хлебопекарные, 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олочные и маслобойные,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производства, 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верофермы,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- 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-26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>
            <w:pPr>
              <w:pStyle w:val="BodyTextIndent3"/>
              <w:spacing w:lineRule="auto" w:line="240" w:before="0" w:after="0"/>
              <w:ind w:left="0" w:right="-261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Сельские кладбища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Котельные, ТЭЦ,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Площадка временного складирования ТБО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Примечания:</w:t>
      </w:r>
    </w:p>
    <w:p>
      <w:pPr>
        <w:pStyle w:val="Style27"/>
        <w:spacing w:lineRule="auto" w:line="24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а) (*) </w:t>
      </w:r>
      <w:r>
        <w:rPr>
          <w:rFonts w:cs="Times New Roman" w:ascii="Times New Roman" w:hAnsi="Times New Roman"/>
          <w:sz w:val="24"/>
          <w:szCs w:val="24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измерений.</w:t>
      </w:r>
    </w:p>
    <w:p>
      <w:pPr>
        <w:pStyle w:val="Style27"/>
        <w:spacing w:lineRule="auto" w:line="240"/>
        <w:ind w:hanging="0"/>
        <w:jc w:val="center"/>
        <w:rPr/>
      </w:pPr>
      <w:bookmarkStart w:id="19" w:name="_Toc474936738"/>
      <w:r>
        <w:rPr>
          <w:rFonts w:ascii="Times New Roman" w:hAnsi="Times New Roman"/>
          <w:b/>
          <w:sz w:val="24"/>
          <w:szCs w:val="24"/>
        </w:rPr>
        <w:t>2.10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</w:r>
      <w:bookmarkEnd w:id="19"/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Инженерно-технические мероприятия гражданской обороны и чрезвычайным ситуациям должны предусматриваться с учетом категорий объектов по гражданской обороне, а также с учетом отнесения территорий к группам по гражданской обороне, при разработке следующих градостроительных документов: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территориальных комплексных схем градостроительного планирования развития территории Брянской области и ее частей;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генеральных планов поселений;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черты населенных пунктов;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планировки районов и кварталов жилой зоны, групп общественных зданий и сооружений;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межевания территорий.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>
      <w:pPr>
        <w:pStyle w:val="ListParagraph"/>
        <w:spacing w:lineRule="auto" w:line="240" w:before="0" w:after="0"/>
        <w:ind w:left="1429" w:hanging="0"/>
        <w:contextualSpacing/>
        <w:rPr>
          <w:sz w:val="24"/>
          <w:szCs w:val="24"/>
        </w:rPr>
      </w:pPr>
      <w:r>
        <w:rPr>
          <w:sz w:val="24"/>
          <w:szCs w:val="24"/>
        </w:rPr>
        <w:t>- при наличии автонасосов - 200 м;</w:t>
      </w:r>
    </w:p>
    <w:p>
      <w:pPr>
        <w:pStyle w:val="ListParagraph"/>
        <w:spacing w:lineRule="auto" w:line="240" w:before="0" w:after="0"/>
        <w:ind w:left="1429" w:hanging="0"/>
        <w:contextualSpacing/>
        <w:rPr>
          <w:sz w:val="24"/>
          <w:szCs w:val="24"/>
        </w:rPr>
      </w:pPr>
      <w:r>
        <w:rPr>
          <w:sz w:val="24"/>
          <w:szCs w:val="24"/>
        </w:rPr>
        <w:t>- при наличии мотопомп - 100 - 150 м в зависимости от технических возможностей мотопомп.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 При разработке проектов планировки определить места размещения разворотных площадок во внутридворовых территориях, размерами 15х15 метров.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20" w:name="_Toc474936739"/>
      <w:r>
        <w:rPr>
          <w:b/>
          <w:sz w:val="24"/>
          <w:szCs w:val="24"/>
        </w:rPr>
        <w:t>2.11 Расчетные показатели, устанавливаемые для объектов местного значения в области утилизации и переработки бытовых и промышленных отходов</w:t>
      </w:r>
      <w:bookmarkEnd w:id="20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2.17.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2.17</w:t>
      </w:r>
    </w:p>
    <w:tbl>
      <w:tblPr>
        <w:tblW w:w="958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551"/>
        <w:gridCol w:w="1846"/>
        <w:gridCol w:w="1273"/>
        <w:gridCol w:w="3"/>
        <w:gridCol w:w="1424"/>
        <w:gridCol w:w="787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га/10 тыс.чел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объектами сбора и вывоза твердых бытовых отходов для проживающих в муниципальном жилом фонде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объектами сбора и вывоза твердых бытовых отходов для проживающих в индивидуальном жилом фонде</w:t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общее количество бытовых отходов по населенному пункту с учетом общественных зданий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накопление крупногабаритных бытовых отходов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% от объема ТБО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а) (*) </w:t>
      </w:r>
      <w:r>
        <w:rPr>
          <w:sz w:val="24"/>
          <w:szCs w:val="24"/>
          <w:lang w:eastAsia="en-US"/>
        </w:rPr>
        <w:t xml:space="preserve">Уровень территориальной доступности объектов </w:t>
      </w:r>
      <w:r>
        <w:rPr>
          <w:sz w:val="24"/>
          <w:szCs w:val="24"/>
        </w:rPr>
        <w:t>утилизации и переработки бытовых и промышленных отходов</w:t>
      </w:r>
      <w:r>
        <w:rPr>
          <w:sz w:val="24"/>
          <w:szCs w:val="24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21" w:name="_Toc474936740"/>
      <w:r>
        <w:rPr>
          <w:sz w:val="24"/>
          <w:szCs w:val="24"/>
        </w:rPr>
        <w:t>2.12 Расчетные показатели, устанавливаемые для объектов местного значения в области захоронений</w:t>
      </w:r>
      <w:bookmarkEnd w:id="21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захоронений необходимо руководствоваться расчетными показателями таблицы 2.18.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2.18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90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416"/>
        <w:gridCol w:w="1700"/>
        <w:gridCol w:w="1277"/>
        <w:gridCol w:w="2"/>
        <w:gridCol w:w="1700"/>
        <w:gridCol w:w="894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spacing w:lineRule="auto" w:line="240" w:before="0" w:after="0"/>
              <w:ind w:firstLine="41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кладбища смешанного и традиционного захоронения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  <w:lang w:eastAsia="en-US"/>
              </w:rPr>
              <w:t>га/1000 чел.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0,16га/ объект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pStyle w:val="1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bookmarkStart w:id="22" w:name="_Toc474936741"/>
      <w:r>
        <w:rPr>
          <w:b/>
          <w:sz w:val="24"/>
          <w:szCs w:val="24"/>
        </w:rPr>
        <w:t>2.13 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bookmarkEnd w:id="22"/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иных объектов местного значения для подготовки документов территориального планирования, документации по планировке территорий необходимо руководствоваться расчетными показателями таблицы 2.19.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2.19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3346"/>
        <w:gridCol w:w="2612"/>
        <w:gridCol w:w="2877"/>
      </w:tblGrid>
      <w:tr>
        <w:trPr>
          <w:tblHeader w:val="true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одного или нескольких видов объектов местного значения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архив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объект на район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Транспортная доступность – не более 30 мин.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2.13.1 Требования  и рекомендации к зданиям и сооружениям Погарского района для доступности  маломобильных групп населения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360" w:hanging="0"/>
        <w:jc w:val="center"/>
        <w:rPr>
          <w:b/>
          <w:b/>
        </w:rPr>
      </w:pPr>
      <w:r>
        <w:rPr>
          <w:b/>
          <w:sz w:val="24"/>
          <w:szCs w:val="24"/>
        </w:rPr>
        <w:t>Требования к земельным участкам и  путям движения</w:t>
      </w:r>
    </w:p>
    <w:p>
      <w:pPr>
        <w:pStyle w:val="Normal"/>
        <w:spacing w:lineRule="auto" w:line="24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Должны  быть предусмотрены условия беспрепятственного, безопасного и удобного передвижения маломобильных групп населения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>
      <w:pPr>
        <w:pStyle w:val="Normal"/>
        <w:tabs>
          <w:tab w:val="right" w:pos="142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2,0х1,8 м для обеспечения возможности разъезда инвалидов на креслах-колясках.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Высоту бордюров по краям пешеходных путей на территории рекомендуется принимать не менее 0,05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Входы в здания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 здании должен быть как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Поверхность ступеней должна иметь антискользящее покрытие и быть шероховатой.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Не следует применять на путях движения МГН ступеней с открытыми подступенками.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Лестницы должны дублироваться пандусами или подъемными устройствами.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Ширина между поручнями пандуса должна быть в пределах 0,9-1,0 м.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Пандус с расчетной длиной 36,0 м и более или высотой более 3,0 м следует заменять подъемными устройствами.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1,5х1,5 м, а в зонах интенсивного использования не менее 2,1х2,1 м. Свободные зоны должны быть также предусмотрены при каждом изменении направления пандуса.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>
      <w:pPr>
        <w:pStyle w:val="Normal"/>
        <w:spacing w:lineRule="auto" w:line="240"/>
        <w:ind w:firstLine="480"/>
        <w:jc w:val="both"/>
        <w:rPr>
          <w:b/>
          <w:b/>
        </w:rPr>
      </w:pPr>
      <w:r>
        <w:rPr>
          <w:color w:val="000000"/>
          <w:sz w:val="24"/>
          <w:szCs w:val="24"/>
        </w:rPr>
        <w:t>Входная площадка при входах, доступных маломобильным группам населения,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маломобильных групп населения не допускается.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Наружные двери, доступные для маломобильных групп населения, могут иметь пороги. При этом высота каждого элемента порога не должна превышать 0,014 м.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/>
      </w:pPr>
      <w:r>
        <w:rPr>
          <w:b/>
          <w:sz w:val="24"/>
          <w:szCs w:val="24"/>
        </w:rPr>
        <w:t>Автостоянки для инвалидов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Разметку места для стоянки автомашины инвалида на кресле-коляске следует предусматривать размером 6,0</w:t>
      </w:r>
      <w:r>
        <w:rPr>
          <w:sz w:val="24"/>
          <w:szCs w:val="24"/>
        </w:rPr>
        <w:t>х</w:t>
      </w:r>
      <w:r>
        <w:rPr>
          <w:color w:val="000000"/>
          <w:sz w:val="24"/>
          <w:szCs w:val="24"/>
        </w:rPr>
        <w:t>3,6 м, что дает возможность создать безопасную зону сбоку и сзади машины - 1,2 м.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center"/>
        <w:rPr>
          <w:b/>
          <w:b/>
        </w:rPr>
      </w:pPr>
      <w:r>
        <w:rPr>
          <w:b/>
          <w:sz w:val="24"/>
          <w:szCs w:val="24"/>
        </w:rPr>
        <w:t>Благоустройство территории  и места отдыха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на основных путях движения людей рекомендуется предусматривать не менее чем через 100-150 м места отдыха, доступные для маломобильных групп населения, оборудованные навесами, скамьями, телефонами-автоматами, указателями, светильниками, сигнализацией и т.п.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2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МАТЕРИАЛЫ ПО ОБОСНОВАНИЮ РАСЧЕТНЫХ ПОКАЗАТЕЛЕЙ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3.1. Термины и определения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местных нормативах градостроительного проектирования </w:t>
      </w:r>
      <w:r>
        <w:rPr>
          <w:b/>
          <w:sz w:val="24"/>
          <w:szCs w:val="24"/>
        </w:rPr>
        <w:t>Погарского</w:t>
      </w:r>
      <w:r>
        <w:rPr>
          <w:sz w:val="24"/>
          <w:szCs w:val="24"/>
        </w:rPr>
        <w:t xml:space="preserve"> района, приведенные понятия применяются в следующем значении: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Местные нормативы градостроительного проектирования</w:t>
      </w:r>
      <w:r>
        <w:rPr>
          <w:sz w:val="24"/>
          <w:szCs w:val="24"/>
        </w:rPr>
        <w:t xml:space="preserve"> – утвержденный в соответствии с Градостроительным кодексом Российской Федерации нормативный правовой акт муниципального района, содержащий минимальные расчетные показатели обеспечения благоприятных условий жизнедеятельности человека в отношении объектов, функционирование которых связанно с решением вопросов местного значения.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Объекты местного значения</w:t>
      </w:r>
      <w:r>
        <w:rPr>
          <w:sz w:val="24"/>
          <w:szCs w:val="24"/>
        </w:rPr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Автомобильная дорога (дорога) </w:t>
      </w:r>
      <w:r>
        <w:rPr>
          <w:sz w:val="24"/>
          <w:szCs w:val="24"/>
        </w:rPr>
        <w:t>– часть территории населенных пунктов поселения, определяемая в соответствии с абзацем восьмым статьи 2 Федерального закона от 10 декабря 1995 г. № 196-ФЗ «О безопасности дорожного движения», пунктом 1 статьи 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– территория, находящаяся в границах полос отвода - красных линий, которые в соответствии с пунктом 11 статьи 1 Градостроительного кодекса Российской Федерации обозначают существующие, планируемые (изменяемые, вновь образуемые) границы земельных участков расположения дороги, предназначенной для движения в соответствующих случаях автомобилей, общественного транспорта, пешеходов.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инфраструктуры, а также для устройства инженерных коммуникаций, включая устройство линий электропередачи, линий связи (подземных и надземных).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Остановка общественного транспорта</w:t>
      </w:r>
      <w:r>
        <w:rPr>
          <w:sz w:val="24"/>
          <w:szCs w:val="24"/>
        </w:rPr>
        <w:t xml:space="preserve"> – специально отведённая территория, предназначенная для посадки/высадки пассажиров общественного транспорта.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Транспортная услуга</w:t>
      </w:r>
      <w:r>
        <w:rPr>
          <w:sz w:val="24"/>
          <w:szCs w:val="24"/>
        </w:rPr>
        <w:t xml:space="preserve"> – результат деятельности исполнителя транспортной услуги по удовлетворению потребностей пассажира, грузоотправителя и грузополучателя в перевозках в соответствии с установленными нормами и требованиями.</w:t>
      </w:r>
    </w:p>
    <w:p>
      <w:pPr>
        <w:pStyle w:val="Normal"/>
        <w:widowControl w:val="false"/>
        <w:spacing w:lineRule="auto" w:line="240"/>
        <w:ind w:firstLine="709"/>
        <w:jc w:val="both"/>
        <w:rPr>
          <w:highlight w:val="yellow"/>
          <w:lang w:eastAsia="en-US"/>
        </w:rPr>
      </w:pPr>
      <w:r>
        <w:rPr>
          <w:b/>
          <w:sz w:val="24"/>
          <w:szCs w:val="24"/>
        </w:rPr>
        <w:t>Транспортное обслуживание</w:t>
      </w:r>
      <w:r>
        <w:rPr>
          <w:sz w:val="24"/>
          <w:szCs w:val="24"/>
        </w:rPr>
        <w:t xml:space="preserve"> – процесс предоставления транспортных услуг потребителям, в соответствии с установленными нормами и требованиями.</w:t>
      </w:r>
      <w:r>
        <w:rPr>
          <w:sz w:val="24"/>
          <w:szCs w:val="24"/>
          <w:highlight w:val="yellow"/>
          <w:lang w:eastAsia="en-US"/>
        </w:rPr>
        <w:t xml:space="preserve"> 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иные понятия, используемые в </w:t>
      </w:r>
      <w:r>
        <w:rPr>
          <w:sz w:val="24"/>
          <w:szCs w:val="24"/>
        </w:rPr>
        <w:t>МНГП Погарского района</w:t>
      </w:r>
      <w:r>
        <w:rPr>
          <w:sz w:val="24"/>
          <w:szCs w:val="24"/>
          <w:lang w:eastAsia="en-US"/>
        </w:rPr>
        <w:t>, употребляются в значениях, соответствующих значениям, содержащимся в федеральном и региональном законодательстве Брянской области.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3.2.  Цели и задачи подготовки местных нормативов градостроительного проектирования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Основной целью формирования местных градостроительных нормативов является обеспечение пространственного развития территории, соответствующего качеству жизни населения, предусмотренному документами стратегического планирования, определяющими и содержащими цели и задачи социально-экономического развития территории.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 обеспечения благоприятных условий жизнедеятельности населения (включая людей с инвалидностью) при реализации решений, содержащихся в документах территориального планирования, градостроительного зонирования, планировки территорий,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архитектурно-строительного проектирования,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Местные нормативы градостроительного проектирования позволяют обеспечить согласованность решений и показателей развития территорий, устанавливаемых в документах стратегического и территориального планирования Погарского района, таких как стратегия социально-экономического развития и схема территориального планирования.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Местные нормативы градостроительного проектирования Погарского района направлены на решение следующих основных задач: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 установление минимального набора расчетных показателей, применение которых необходимо при разработке градостроительной документации;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2) обеспечение оценки качества градостроительной документации в плане соответствия её решений целям повышения качества жизни населения, установленным  в документах стратегического планирования муниципального образования;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 обеспечение контроля за соответствием решений градостроительной документации изменяющимся социально-экономическим условиям на территории муниципального района.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3.3.  Общая характеристика состава и содержания местных нормативов градостроительного проектирования</w:t>
      </w:r>
    </w:p>
    <w:p>
      <w:pPr>
        <w:pStyle w:val="ConsNormal"/>
        <w:spacing w:lineRule="auto" w:line="24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местных нормативов градостроительного проектирования Погарского района включаются: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>
      <w:pPr>
        <w:pStyle w:val="ConsNormal"/>
        <w:widowControl/>
        <w:numPr>
          <w:ilvl w:val="0"/>
          <w:numId w:val="2"/>
        </w:numPr>
        <w:suppressAutoHyphens w:val="true"/>
        <w:spacing w:lineRule="auto" w:line="24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местных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нормативов  градостроительного проектирования утверждается решением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Погарского  </w:t>
      </w:r>
      <w:r>
        <w:rPr>
          <w:rFonts w:cs="Times New Roman" w:ascii="Times New Roman" w:hAnsi="Times New Roman"/>
          <w:sz w:val="24"/>
          <w:szCs w:val="24"/>
        </w:rPr>
        <w:t>районного Совета народных депутатов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ConsNormal"/>
        <w:spacing w:lineRule="auto" w:line="240"/>
        <w:ind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размещает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ся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  </w:t>
      </w:r>
      <w:hyperlink r:id="rId4">
        <w:r>
          <w:rPr>
            <w:rStyle w:val="Style17"/>
            <w:rFonts w:eastAsia="Times New Roman" w:cs="Times New Roman" w:ascii="Times New Roman" w:hAnsi="Times New Roman"/>
            <w:color w:val="auto"/>
            <w:kern w:val="0"/>
            <w:sz w:val="24"/>
            <w:szCs w:val="24"/>
            <w:lang w:val="ru-RU" w:eastAsia="ru-RU" w:bidi="ar-SA"/>
          </w:rPr>
          <w:t>http://www.pogaradm.ru</w:t>
        </w:r>
      </w:hyperlink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3.4.  Общая характеристика методики разработки местных нормативов градостроительного проектирования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567" w:leader="none"/>
        </w:tabs>
        <w:suppressAutoHyphens w:val="true"/>
        <w:spacing w:lineRule="auto" w:line="240" w:before="0" w:after="0"/>
        <w:ind w:firstLine="567"/>
        <w:contextualSpacing/>
        <w:jc w:val="both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t>В соответствии со статьей 29.2 Градостроительного кодекса Российской Федерации, нормативы градостроительного проектирования муниципального района устанавливают совокупность: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right" w:pos="567" w:leader="none"/>
        </w:tabs>
        <w:suppressAutoHyphens w:val="true"/>
        <w:spacing w:lineRule="auto" w:line="24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расчетных показателей минимально допустимого уровня обеспеченности объектами местного значения муниципального района, относящимися к областям: 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а) электро- и газоснабжение поселений;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б) автомобильные дороги местного значения вне границ населенных пунктов в границах муниципального района;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в) образование;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г) здравоохранение;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д) физическая культура и массовый спорт;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е) утилизация и переработка бытовых и промышленных отходов;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ж) иные области в связи с решением вопросов местного значения муниципального района;</w:t>
      </w:r>
    </w:p>
    <w:p>
      <w:pPr>
        <w:pStyle w:val="Normal"/>
        <w:widowControl w:val="false"/>
        <w:numPr>
          <w:ilvl w:val="0"/>
          <w:numId w:val="3"/>
        </w:numPr>
        <w:tabs>
          <w:tab w:val="right" w:pos="567" w:leader="none"/>
        </w:tabs>
        <w:suppressAutoHyphens w:val="true"/>
        <w:spacing w:lineRule="auto" w:line="240" w:before="0" w:after="0"/>
        <w:contextualSpacing/>
        <w:jc w:val="both"/>
        <w:rPr>
          <w:kern w:val="2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color w:val="000000"/>
          <w:kern w:val="2"/>
          <w:sz w:val="24"/>
          <w:szCs w:val="24"/>
          <w:lang w:eastAsia="ar-SA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>
      <w:pPr>
        <w:pStyle w:val="Normal"/>
        <w:widowControl w:val="false"/>
        <w:tabs>
          <w:tab w:val="right" w:pos="567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kern w:val="2"/>
          <w:sz w:val="24"/>
          <w:szCs w:val="24"/>
          <w:lang w:eastAsia="ar-SA"/>
        </w:rPr>
        <w:t>на основе сравнения  рекомендаций нормативных, правовых и нормативно-технических документов и стандартов Российской Федерации, Брянской области и  оценки экономическо-географического, социально-демографического, производственного, природного потенциала развития  Погарского района Брянской области.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3.5. Административно-территориальное устройство </w:t>
      </w:r>
      <w:r>
        <w:rPr>
          <w:b/>
          <w:kern w:val="2"/>
          <w:sz w:val="24"/>
          <w:szCs w:val="24"/>
          <w:lang w:eastAsia="ar-SA"/>
        </w:rPr>
        <w:t>Погарского</w:t>
      </w:r>
      <w:r>
        <w:rPr>
          <w:b/>
          <w:sz w:val="24"/>
          <w:szCs w:val="24"/>
        </w:rPr>
        <w:t xml:space="preserve"> района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Административно-территориальное устройство, статус и границы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установлены Законом Брянской области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 расположен на юго-востоке Брянской области. Площадь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- 119638</w:t>
      </w:r>
      <w:r>
        <w:rPr>
          <w:color w:val="000000"/>
          <w:sz w:val="24"/>
          <w:szCs w:val="24"/>
          <w:shd w:fill="FFFFFF" w:val="clear"/>
        </w:rPr>
        <w:t xml:space="preserve"> га</w:t>
      </w:r>
      <w:r>
        <w:rPr>
          <w:bCs/>
          <w:sz w:val="24"/>
          <w:szCs w:val="24"/>
        </w:rPr>
        <w:t>. Административный центр  района -  пгт Погар</w:t>
      </w:r>
      <w:r>
        <w:rPr>
          <w:bCs/>
          <w:sz w:val="24"/>
          <w:szCs w:val="24"/>
        </w:rPr>
        <w:t>.</w:t>
      </w:r>
    </w:p>
    <w:p>
      <w:pPr>
        <w:pStyle w:val="Normal"/>
        <w:spacing w:lineRule="auto" w:line="240"/>
        <w:ind w:firstLine="567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Основные реки — Десна, Судость.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В состав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входит 1 городское и 12 сельских поселений, сведения о которых представлены в таблице 3.1.</w:t>
      </w:r>
    </w:p>
    <w:p>
      <w:pPr>
        <w:pStyle w:val="Normal"/>
        <w:spacing w:lineRule="auto" w:line="240"/>
        <w:ind w:hanging="0"/>
        <w:jc w:val="right"/>
        <w:rPr/>
      </w:pPr>
      <w:r>
        <w:rPr>
          <w:bCs/>
          <w:sz w:val="24"/>
          <w:szCs w:val="24"/>
        </w:rPr>
        <w:t>Таблица 3.1.</w:t>
      </w:r>
    </w:p>
    <w:tbl>
      <w:tblPr>
        <w:tblW w:w="9690" w:type="dxa"/>
        <w:jc w:val="left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6"/>
        <w:gridCol w:w="2701"/>
        <w:gridCol w:w="3733"/>
        <w:gridCol w:w="2610"/>
      </w:tblGrid>
      <w:tr>
        <w:trPr>
          <w:tblHeader w:val="true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Входящие в состав поселения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Административный центр  поселения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Погарское городское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пгт Погар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гт Погар</w:t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Борщовское сельское поселение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Борщово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Борщово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Мирские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Песчанки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с.Лобки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82" w:hRule="atLeast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Вадьковское сельское поселение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с.Стечна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tabs>
                <w:tab w:val="left" w:pos="380" w:leader="none"/>
                <w:tab w:val="center" w:pos="1081" w:leader="none"/>
              </w:tabs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Вадьковка</w:t>
            </w:r>
          </w:p>
          <w:p>
            <w:pPr>
              <w:pStyle w:val="Normal"/>
              <w:spacing w:lineRule="auto" w:line="240"/>
              <w:jc w:val="center"/>
              <w:rPr>
                <w:rStyle w:val="115pt0pt"/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д.Бугаевка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с.Грязивец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д.Романовка 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х.Лосевка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х.Поперечное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п.Дубрава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п.Гамовщина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х.Глинки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с.Чеховка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х.Реуха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п.Довжик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д.Карбовка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п.Плоский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п.Кожуровка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п.Дятлов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х.Раков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п.Красный Бор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п.Вадьковка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Витемлянское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дер.Базская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с. Витемля 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дер.Василевка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с.Витемля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х.Гарцаевка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с.Евдоколье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п.Западеньки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п.Запесочье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п.Просвет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п.Красный Угол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д.Исаевка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п.Нечуи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х.Торкин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д.Телеговка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Гетуновское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Джуровка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Гетуновка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Синицкий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Роговичи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Авсеенков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tabs>
                <w:tab w:val="left" w:pos="600" w:leader="none"/>
              </w:tabs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Песоцкий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Граборовка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Чайкино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Левдиков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Гетуновка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Калиновка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Чаков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Городищенское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Городище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Городище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Гриневочка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Перегон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11" w:hRule="atLeast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Чубарово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Вора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Лукин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Белый Поруб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Дареевск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Чемерисовка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Леднев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Гошка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Кирпичный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Гриневское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Гринево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Гринево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Бобрик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Новый Синин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Незеваевка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Синин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Майский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Меловое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Низы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Щербаковка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Долботовское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Долботово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Долботово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Абаринки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Храповка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Савостьяны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Красный Октябрь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Михновка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Юрково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Кистерское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Кистёр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Кистер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Гудовка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Сухосеевка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с.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Андрейковичи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Боевик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Кочкарь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пос.Затростянье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Колодезки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пос.Балышовка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Посудичское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Балыкино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Посудичи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Белевая 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Бердаши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Буденный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Грозный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Жигалки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Заяружье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Мадеевка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Ореховка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Первомайский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Посудичи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Прирубки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Рассуха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Рожки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Садовый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Сочилов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 </w:t>
            </w: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Яковлевичи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Суворовское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Суворово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Суворово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Курово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Белевица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Чаусовское сельское поселение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Чаусы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Чаусы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Горицы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Марковск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Сопычи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Случевск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Огонек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Юдиновское сельское поселение</w:t>
            </w:r>
          </w:p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Пролетарский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Юдиново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Юдиново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п. Красная Роща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Заречное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Березовка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д. Казиловка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/>
                <w:kern w:val="0"/>
                <w:lang w:val="ru-RU" w:eastAsia="ru-RU"/>
              </w:rPr>
            </w:pPr>
            <w:r>
              <w:rPr>
                <w:kern w:val="0"/>
                <w:lang w:val="ru-RU" w:eastAsia="ru-RU"/>
              </w:rPr>
              <w:t>п. Золин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Расселение на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 района формировалось под влиянием природных условий и особенностей географического местоположения. Большинство населенных пунктов приурочено к транспортным коридорам, проходящим по территории района.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Расстояние до областного центра (г. Брянск) составляет 137км.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3.6. Социально-демографический состав и плотность населения муниципальных образований на территориях, расположенных в границах </w:t>
      </w:r>
      <w:r>
        <w:rPr>
          <w:b/>
          <w:kern w:val="2"/>
          <w:sz w:val="24"/>
          <w:szCs w:val="24"/>
          <w:lang w:eastAsia="ar-SA"/>
        </w:rPr>
        <w:t>Погарского</w:t>
      </w:r>
      <w:r>
        <w:rPr>
          <w:b/>
          <w:sz w:val="24"/>
          <w:szCs w:val="24"/>
        </w:rPr>
        <w:t xml:space="preserve">  района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Подготовка местных нормативов градостроительного проектирования осуществлялась с учетом социально-демографического состава и плотности населения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Население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на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01.01.2020 численность населения МО «Погарский район» составляет 23035 чел.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схемой территориального планирования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расчётная численность населения и возрастно-половой состав населения были определены на две даты: 2007 год (1 очередь реализации Схемы) и 2030 год (расчётный срок реализации Схемы).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Расчет произведен по двум вариантам прогноза (условно: «инерционный» и «инновационный»).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В основу «инерционного» сценария прогноза была положена гипотеза медленной стабилизации демографических показателей. Согласно этой гипотезе до 2030 года будет происходить медленное повышение рождаемости до уровня 1,55 рождений на одну женщину в фертильном (детородном) возрасте, повышаться продолжительность жизни (на 2,5 года у мужчин и на 1,5 года у женщин), а убыль населения в результате миграции останется на прежнем уровне.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«Инновационный» сценарий основывается на более существенном росте рождаемости – до 1,7 рождений на 1 женщину в фертильном возрасте, увеличении продолжительности жизни на 5 и 3 года у мужчин и женщин соответственно, достижения равновесия количества прибывших и выбывших (миграционный прирост равный 0) к 2015 году и миграционный прирост, начиная с 2015 года. Для обоих вариантов прогнозировалось незначительное повышение возраста матери.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Оба варианта прогноза предполагают сокращение численности населения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3.7. Природно-климатические условия Погарский района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Погарский район расположен в зоне с умеренно-континентальным климатом, с теплым летом и холодной зимой и с достаточным увлажнением.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Идущие на восток с Атлантического океана воздушные массы приносят летом пасмурную и дождливую погоду, а зимой значительные потепления.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Среднегодовое количество осадков составляет 580 мм.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Число часов солнечного сияния за год составляет 1698. Радиационный баланс за год положителен и составляет 92 ккал/см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в год.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Среднемесячная температура января -8,5˚С, среднемесячная температура июля 17,9˚С.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Абсолютный максимум составляет 38˚С, абсолютный минимум - 39˚С.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Среднегодовая температура воздуха 5,1˚С.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Устойчивый снежный покров устанавливается в первой декаде декабря. Дата разрушения устойчивого снежного покрова первая декада апреля. Число дней со снежным покровом составляет 125 дней. Средняя из максимальных высот снежного покрова за зиму составляет 30 см.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Наибольшее число метелей наблюдается в январе и феврале месяце.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среднем в году отмечается 33 дня с метелями. Максимальная глубина промерзания почвы 1,37м, однако, по средним многолетним данным, она редко превышает 0,9м.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 числу неблагоприятных агроклиматических (агротемпературных) явлений относятся заморозки. По среднемноголетним данным они прекращаются на территории Брянской области в первой декаде мая и возобновляются в конце сентября —начале октября. Период без заморозков продолжается 130 - 135 дней. Однако в отдельные годы они могут возникать в первой (23%) и второй (4%) декадах июня и в третьей декаде августа (8 %), а безморозный период может сокращаться до 115 и даже 88 дней.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Ветровой режим района в теплый период (апрель – сентябрь) характеризуется преобладанием северо-западных, северо-восточных и западных ветров, а в холодный период (октябрь – март) – юго-западных, южных и западных.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ветры западных румбов (3, СЗ, ЮЗ) на территории области приходится 47 %, на ветры восточных румбов (В, СВ, ЮВ) 6 % времени в году.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северные ветры приходится 7 %, а на южные - 10 % повторяемости. Около 95 - 97 % времени наблюдается слабый и умеренный ветер. Сильные ветры со скоростью более 15 м/с наблюдаются в течение 10 - 18 дней.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Лесные ресурсы составляют 16,149 тыс. га, лесистость-28%. Наиболее ценные леса - хвойные, занимают 54,7 процента лесных площадей, значительная часть лесопокрытой площади занята березой и осиной. Распространены также дуб, ясень и клен. Расчетная лесосека по главному пользованию составляет 33,8 тысяч куб метров.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районе имеются месторождения песка и глины, пригодной для производства кирпича. Это создает условия для развития производства строительных материалов с перспективой реализации их в районе и в области.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3.8. Анализ стратегии и прогноза социально-экономического развития Погарского района, программ социально-экономического развития Погарского района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Подготовка местных нормативов градостроительного проектирования осуществляется с учетом плана и программ комплексного социально-экономического развития муниципального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Учет планов и программ комплексного социально-экономического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 планируемых к размещению объектов местного значения муниципального района в принятых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муниципального района, требует: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 обоснование выбранного варианта размещения на основе анализа использования территорий района, возможных направлений развития этих территорий и прогнозируемых ограничений их использования;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2) оценку возможного влияния планируемых для размещения объектов местного значения муниципального района на комплексное развитие этих территорий.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Наибольшим потенциалом для реализации экономического развития района обладают территории, прилегающие к Погарскому городскому поселению. В данной зоне сконцентрирована значительная часть населения района и сосредоточены сравнительно свободные земли, пригодные для организации промышленного производства. А также эта территория обладает удобными транспортными связями.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поселениям к размещению предлагаются следующие производства: кирпичные заводы,  фермы КРС, свинофермы,  молочные цеха,  и др. Эти производства станут в обозримом будущем «мотором» экономики района. Новые  технологии способствуют и обеспечивают повышение жизненного уровня за счет интенсивных факторов: роста производительности труда, снижения относительного уровня потребления и повышения эффективности использования невосполнимых природных ресурсов.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Несмотря на отсталое техническое состояние инженерно - коммунальных сетей, низкую долю благоустроенного жилья в районе, за счёт реализации областных целевых программ по жилищному и дорожному строительству улучшаются условия проживания населения. Начала развиваться такая отрасль, как строительство.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Наличие природных, этно-исторических зон муниципального района создаёт хорошие условия для развития коммерческого туризма.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Значительная часть экономически активного населения района занята в социальных отраслях бюджетной сферы.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повышения уровня конкурентоспособности экономики, улучшения состояния социальной сферы, качества среды проживания  и  экологической  обстановки требуется привлечение в муниципалитет инвестиций,  снижение зависимости  от  бюджетной  сферы. В муниципальном районе должны создаваться новые предприятия, учреждения социальной сферы, объекты   жилого  фонда,   инженерно-энергетической    и    транспортной инфраструктуры, а  также  осуществляться  модернизация  уже  существующих предприятий и объектов.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привлечении инвестиций целесообразно делать ставку, как  на  развитие уже существующих предприятий, так и на создание новых инновационных и  высокотехнологичных производств.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3.6. Обоснование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и перечня расчетных показателей максимально допустимого уровня</w:t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территориальной доступности таких объектов для населения муниципального района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50" w:type="dxa"/>
        <w:jc w:val="left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507"/>
        <w:gridCol w:w="4843"/>
        <w:gridCol w:w="4400"/>
      </w:tblGrid>
      <w:tr>
        <w:trPr>
          <w:trHeight w:val="486" w:hRule="atLeast"/>
          <w:cantSplit w:val="true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1.</w:t>
            </w:r>
          </w:p>
        </w:tc>
        <w:tc>
          <w:tcPr>
            <w:tcW w:w="9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rPr>
                <w:rFonts w:eastAsia="Arial Unicode MS"/>
                <w:iCs/>
                <w:color w:val="000000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Значения расчетных показателей объектов местного значения: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жилищного строительства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42.13330.2016, региональные нормативы градостроительного проектирования Брянской области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образования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в том числе дошкольные образовательные организации и общеобразовательные организации – по расчету в соответствии с фактическими статистическими и демографическими данными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СанПиН 2.4.1.3049-13, СанПиН 2.4.2.2821-10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</w:pPr>
            <w:r>
              <w:rPr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здравоохранения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СП 158.13330.2014,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146.13330.2012,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03.07.1996 №1063-р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19.10.1999 № 1683-р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физической культуры и спорта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СП 31-112-2004,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Распоряжение Правительства Российской Федерации от 03.07.1996 № 1063-р,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35-103-2001, СП 59.13330.2012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культуры и социального обеспечения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42.13330.2016,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03.07.1996 № 1063-р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рекреации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42.13330.2016, региональные нормативы градостроительного проектирования Брянской области</w:t>
            </w:r>
          </w:p>
        </w:tc>
      </w:tr>
      <w:tr>
        <w:trPr>
          <w:trHeight w:val="132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энергетики и инженерной инфраструктуры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РД 34.20.185-94,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62.13330.2011,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42-101-2003</w:t>
            </w:r>
          </w:p>
        </w:tc>
      </w:tr>
      <w:tr>
        <w:trPr>
          <w:trHeight w:val="2109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 в области автомобильных дорог местного значения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34.13330.2012, СП 42.13330.2016, </w:t>
            </w: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МДС 32-1.2000,  ОСТ 218.1.002-2003</w:t>
            </w:r>
          </w:p>
        </w:tc>
      </w:tr>
      <w:tr>
        <w:trPr>
          <w:trHeight w:val="1019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значения, имеющих промышленное и коммунально-складское назначение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</w:t>
            </w:r>
          </w:p>
        </w:tc>
      </w:tr>
      <w:tr>
        <w:trPr>
          <w:trHeight w:val="1013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сельского хозяйства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</w:t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42.13330.2016, СП 88.13330.2014,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116.13330.2012, СП 58.13330.2012,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116.13330.2012, СНиП 2.06.15-85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21.13330.2012, ГОСТ Р 22.0.07-95,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Федеральный закон от 21.12.1998 № 68-ФЗ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утилизации и переработки бытовых и промышленных отходов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42.13330.2016, СанПиН 2.1.7.1322-03,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2.1.7.1038-01, СНиП 2.01.28-85,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ГОСТ Р 51617-2000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524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захоронений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СП 42.13330.2016,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СанПиН 2.2.1/2.1.1.1200-03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Иные расчетные показатели, необходимые для подготовки документов территориального планирования, документации по планировке территорий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СП 42.13330.2016,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118.13330.2012</w:t>
            </w:r>
          </w:p>
        </w:tc>
      </w:tr>
      <w:tr>
        <w:trPr>
          <w:trHeight w:val="1650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36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rPr/>
            </w:pPr>
            <w:r>
              <w:rPr>
                <w:rFonts w:eastAsia="Arial Unicode MS"/>
                <w:sz w:val="24"/>
                <w:szCs w:val="24"/>
                <w:u w:val="none" w:color="000000"/>
              </w:rPr>
              <w:t>Нормативы обеспечения доступности объектов для инвалидов и других маломобильных групп населения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СНиП 35-01-2001, СП 35-101-2001, 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СП 35-102-2001, СП 31-102-99, 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35-103-2001, РДС 35-201-99,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42.13330.2016</w:t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3.7. Перечень законодательных и нормативных документов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23" w:name="_Toc432515956"/>
      <w:r>
        <w:rPr>
          <w:sz w:val="24"/>
          <w:szCs w:val="24"/>
        </w:rPr>
        <w:t xml:space="preserve">Перечень нормативных правовых актов и иных документов РФ, использованных при подготовке местных нормативов градостроительного проектирования </w:t>
      </w:r>
      <w:bookmarkEnd w:id="23"/>
      <w:r>
        <w:rPr>
          <w:sz w:val="24"/>
          <w:szCs w:val="24"/>
        </w:rPr>
        <w:t>Погарского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sz w:val="24"/>
          <w:szCs w:val="24"/>
          <w:lang w:eastAsia="ru-RU"/>
        </w:rPr>
        <w:t>Кодексы Российской Федерации</w:t>
      </w:r>
    </w:p>
    <w:p>
      <w:pPr>
        <w:pStyle w:val="011"/>
        <w:spacing w:lineRule="auto" w:line="240"/>
        <w:rPr>
          <w:spacing w:val="-3"/>
          <w:lang w:eastAsia="ru-RU"/>
        </w:rPr>
      </w:pPr>
      <w:r>
        <w:rPr>
          <w:spacing w:val="-3"/>
          <w:sz w:val="24"/>
          <w:szCs w:val="24"/>
          <w:lang w:eastAsia="ru-RU"/>
        </w:rPr>
        <w:t>Градостроительный кодекс Российской Федерации от 29 декабря 2004 года № 190-ФЗ</w:t>
      </w:r>
    </w:p>
    <w:p>
      <w:pPr>
        <w:pStyle w:val="011"/>
        <w:spacing w:lineRule="auto" w:line="240"/>
        <w:rPr>
          <w:spacing w:val="-3"/>
          <w:lang w:eastAsia="ru-RU"/>
        </w:rPr>
      </w:pPr>
      <w:r>
        <w:rPr>
          <w:spacing w:val="-3"/>
          <w:sz w:val="24"/>
          <w:szCs w:val="24"/>
          <w:lang w:eastAsia="ru-RU"/>
        </w:rPr>
        <w:t xml:space="preserve">Гражданский кодекс Российской Федерации, часть </w:t>
      </w:r>
      <w:r>
        <w:rPr>
          <w:spacing w:val="-3"/>
          <w:sz w:val="24"/>
          <w:szCs w:val="24"/>
          <w:lang w:val="en-US" w:eastAsia="ru-RU"/>
        </w:rPr>
        <w:t>I</w:t>
      </w:r>
      <w:r>
        <w:rPr>
          <w:spacing w:val="-3"/>
          <w:sz w:val="24"/>
          <w:szCs w:val="24"/>
          <w:lang w:eastAsia="ru-RU"/>
        </w:rPr>
        <w:t>, от 30 ноября 1994 года № 51-ФЗ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Жилищный кодекс Российской Федерации от 29 декабря 2004 года № 188-ФЗ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Земельный кодекс Российской Федерации от 25 октября 2001 года № 136-ФЗ </w:t>
      </w:r>
    </w:p>
    <w:p>
      <w:pPr>
        <w:pStyle w:val="011"/>
        <w:spacing w:lineRule="auto" w:line="24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Федеральные законы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21 декабря 1994 года № 69-ФЗ «О пожарной безопасности»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24 ноября 1995 года № 181-ФЗ «О социальной защите инвалидов в Российской Федерации» </w:t>
      </w:r>
    </w:p>
    <w:p>
      <w:pPr>
        <w:pStyle w:val="011"/>
        <w:spacing w:lineRule="auto" w:line="240"/>
        <w:rPr>
          <w:spacing w:val="-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Федеральный закон от 10 декабря 1995 года № 196-ФЗ «О безопасности дорожного движения»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12 января 1996 года № 8-ФЗ «О погребении и похоронном деле» </w:t>
      </w:r>
    </w:p>
    <w:p>
      <w:pPr>
        <w:pStyle w:val="011"/>
        <w:spacing w:lineRule="auto" w:line="240"/>
        <w:rPr>
          <w:spacing w:val="-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Федеральный закон от 24 июня 1998 года № 89-ФЗ «Об отходах производства и потребления»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12 февраля 1998 года № 28-ФЗ «О гражданской обороне»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30 марта 1999 года № 52-Ф3 «О санитарно-эпидемиологическом благополучии населения»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31 марта 1999 года № 69-ФЗ «О газоснабжении в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27 декабря 2002 года № 184-ФЗ «О техническом регулировании»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26 марта 2003 года № 35-ФЗ «Об электроэнергетике»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8 ноября 2007 года № 257-ФЗ «Об автомобильных дорогах и о     дорожной деятельности в Российской Федерации и о внесении изменений в отдельные законодательные акты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4 декабря 2007 № 329-ФЗ «О физической культуре и спорте»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22 июля 2008 года № 123-ФЗ «Технический регламент о требованиях пожарной безопасности»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30 декабря 2009 года № 384-ФЗ «Технический регламент о безопасности зданий и сооружений»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shd w:fill="FFFFFF" w:val="clear"/>
          <w:lang w:eastAsia="ru-RU"/>
        </w:rPr>
        <w:t>Федеральный закон от 28 декабря 2013 года № 442-ФЗ «</w:t>
      </w:r>
      <w:r>
        <w:rPr>
          <w:sz w:val="24"/>
          <w:szCs w:val="24"/>
          <w:lang w:eastAsia="ru-RU"/>
        </w:rPr>
        <w:t>Об основах социального обслуживания граждан в Российской Федерации»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Нормативные акты Правительства Российской Федерации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Правительства Российской Федерации от 7 декабря 1996 года № 1449    «О мерах по обеспечению беспрепятственного доступа инвалидов к информации и объектам социальной инфраструктуры»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Правительства Российской Федерации от 30 декабря 2003 года № 794      «О единой государственной системе предупреждения и ликвидации чрезвычайных ситуаций»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Распоряжение Правительства Российской Федерации от 3 июля 1996 года № 1063-р             «О социальных нормативах и нормах»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Нормативные акты </w:t>
      </w:r>
      <w:r>
        <w:rPr>
          <w:b/>
          <w:sz w:val="24"/>
          <w:szCs w:val="24"/>
          <w:lang w:eastAsia="ru-RU"/>
        </w:rPr>
        <w:t>министерств и ведомств Российской Федерации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Приказ Министерства регионального развития Российской Федерации от 30 января 2012 года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>
      <w:pPr>
        <w:pStyle w:val="011"/>
        <w:spacing w:lineRule="auto" w:line="240"/>
        <w:rPr>
          <w:bCs/>
          <w:lang w:eastAsia="ru-RU"/>
        </w:rPr>
      </w:pPr>
      <w:r>
        <w:rPr>
          <w:sz w:val="24"/>
          <w:szCs w:val="24"/>
          <w:lang w:eastAsia="ru-RU"/>
        </w:rPr>
        <w:t>Приказ Федерального агентства по техническому регулированию и метрологии от 30 марта 2015 года № 365 «Об утверждении п</w:t>
      </w:r>
      <w:r>
        <w:rPr>
          <w:bCs/>
          <w:sz w:val="24"/>
          <w:szCs w:val="24"/>
          <w:lang w:eastAsia="ru-RU"/>
        </w:rPr>
        <w:t>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</w:p>
    <w:p>
      <w:pPr>
        <w:pStyle w:val="011"/>
        <w:spacing w:lineRule="auto" w:line="240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Национальные стандарты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22.0.05-97/ГОСТ Р 22.0.05-94 Безопасность в чрезвычайных ситуациях. Техногенные чрезвычайные ситуации. Термины и определения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ГОСТ Р 52143-2013 Социальное обслуживание населения. Основные виды социальных услуг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52398-2005 Классификация автомобильных дорог. Основные параметры и требования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52399-2005 Геометрические элементы автомобильных дорог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ГОСТ Р 52498-2005 Социальное обслуживание населения. Классификация учреждений социального обслуживания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52748-2007 Дороги автомобильные общего пользования. Нормативные нагрузки, расчетные схемы нагружения и габариты приближения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sz w:val="22"/>
          <w:szCs w:val="22"/>
          <w:lang w:eastAsia="ru-RU"/>
        </w:rPr>
      </w:pPr>
      <w:r>
        <w:rPr>
          <w:b/>
          <w:bCs/>
          <w:sz w:val="24"/>
          <w:szCs w:val="24"/>
          <w:lang w:eastAsia="ru-RU"/>
        </w:rPr>
        <w:t>Своды правил (СП)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19.13330.2011 Генеральные планы сельскохозяйственных предприятий. Актуализированная редакция СНиП II-97-76 </w:t>
      </w:r>
    </w:p>
    <w:p>
      <w:pPr>
        <w:pStyle w:val="011"/>
        <w:spacing w:lineRule="auto" w:line="240"/>
        <w:rPr>
          <w:spacing w:val="-2"/>
          <w:sz w:val="22"/>
          <w:szCs w:val="22"/>
          <w:lang w:eastAsia="ru-RU"/>
        </w:rPr>
      </w:pPr>
      <w:r>
        <w:rPr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>
      <w:pPr>
        <w:pStyle w:val="011"/>
        <w:spacing w:lineRule="auto" w:line="240"/>
        <w:rPr>
          <w:spacing w:val="-2"/>
          <w:sz w:val="22"/>
          <w:szCs w:val="22"/>
          <w:lang w:eastAsia="ru-RU"/>
        </w:rPr>
      </w:pPr>
      <w:r>
        <w:rPr>
          <w:spacing w:val="-2"/>
          <w:sz w:val="24"/>
          <w:szCs w:val="24"/>
          <w:lang w:eastAsia="ru-RU"/>
        </w:rPr>
        <w:t>СП 55.13330.2016 «СНиП 31-02-2001. Дома жилые одноквартирные» (утв. приказом Министерства строительства и жилищно-коммунального хозяйства РФ от 20 октября 2016 г. №725/пр)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31.13330.2012 Водоснабжение. Наружные сети и сооружения.</w:t>
      </w:r>
      <w:r>
        <w:rPr>
          <w:bCs/>
          <w:sz w:val="24"/>
          <w:szCs w:val="24"/>
          <w:lang w:eastAsia="ru-RU"/>
        </w:rPr>
        <w:t xml:space="preserve"> Актуализированная редакция СНиП 2.04.02-84*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32.13330.2012 Канализация. Наружные сети и сооружения.</w:t>
      </w:r>
      <w:r>
        <w:rPr>
          <w:bCs/>
          <w:sz w:val="24"/>
          <w:szCs w:val="24"/>
          <w:lang w:eastAsia="ru-RU"/>
        </w:rPr>
        <w:t xml:space="preserve"> Актуализированная редакция СНиП 2.04.03-85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34.13330.2012 Автомобильные дороги. Актуализированная редакция СНиП 2.05.02-85*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bCs/>
          <w:sz w:val="24"/>
          <w:szCs w:val="24"/>
          <w:lang w:eastAsia="ru-RU"/>
        </w:rPr>
        <w:t>СП 42.13330.2016 СНиП 2.07.01-89* Градостроительство. Планировка и застройка городских и сельских поселений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44.13330.2011 Административные и бытовые здания. Актуализированная редакция СНиП 2.09.04-87* 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54.13330.2016 СНиП 31-01-2003 Здания жилые многоквартирные</w:t>
      </w:r>
    </w:p>
    <w:p>
      <w:pPr>
        <w:pStyle w:val="011"/>
        <w:spacing w:lineRule="auto" w:line="240"/>
        <w:rPr>
          <w:spacing w:val="-4"/>
          <w:sz w:val="22"/>
          <w:szCs w:val="22"/>
          <w:lang w:eastAsia="ru-RU"/>
        </w:rPr>
      </w:pPr>
      <w:r>
        <w:rPr>
          <w:spacing w:val="-4"/>
          <w:sz w:val="24"/>
          <w:szCs w:val="24"/>
          <w:lang w:eastAsia="ru-RU"/>
        </w:rPr>
        <w:t>СП 56.13330.2011 Производственные здания. Актуализированная редакция СНиП 31-03-2001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59.13330.2016 Доступность зданий и сооружений для маломобильных групп населения. Актуализированная редакция СНиП 35-01-2001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113.13330.2016 СНиП 21-02-99* Стоянки автомобилей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117.13330.2011 Общественные здания административного назначения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118.13330.2012 Общественные здания и сооружения. Актуализированная редакция СНиП 31-06-2009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127.13330.2011 Полигоны по обезвреживанию и захоронению токсичных промышленных отходов. Основные положения по проектированию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131.13330.2012</w:t>
      </w:r>
      <w:r>
        <w:rPr>
          <w:sz w:val="24"/>
          <w:szCs w:val="24"/>
          <w:lang w:eastAsia="ru-RU"/>
        </w:rPr>
        <w:t xml:space="preserve"> Строительная климатология. Актуализированная редакция СНиП 23-01-99*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СП 156.13130.2014 </w:t>
      </w:r>
      <w:r>
        <w:rPr>
          <w:bCs/>
          <w:sz w:val="24"/>
          <w:szCs w:val="24"/>
          <w:lang w:eastAsia="ru-RU"/>
        </w:rPr>
        <w:t>Станции автомобильные заправочные. Требования пожарной безопасности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sz w:val="24"/>
          <w:szCs w:val="24"/>
          <w:lang w:eastAsia="ru-RU"/>
        </w:rPr>
        <w:t xml:space="preserve">СП 158.13330.2014 </w:t>
      </w:r>
      <w:r>
        <w:rPr>
          <w:bCs/>
          <w:sz w:val="24"/>
          <w:szCs w:val="24"/>
          <w:shd w:fill="FFFFFF" w:val="clear"/>
          <w:lang w:eastAsia="ru-RU"/>
        </w:rPr>
        <w:t>Здания и помещения медицинских организаций. Правила проектирования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165.1325800.2014 Инженерно-технические мероприятия по гражданской обороне. Актуализированная редакция СНиП 2.01.51-90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251.1325800.2016 </w:t>
      </w:r>
      <w:r>
        <w:rPr>
          <w:bCs/>
          <w:sz w:val="24"/>
          <w:szCs w:val="24"/>
          <w:lang w:eastAsia="ru-RU"/>
        </w:rPr>
        <w:t>Здания общеобразовательных организаций. Правила проектирования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sz w:val="24"/>
          <w:szCs w:val="24"/>
          <w:lang w:eastAsia="ru-RU"/>
        </w:rPr>
        <w:t xml:space="preserve">СП 252.1325800.2016 </w:t>
      </w:r>
      <w:r>
        <w:rPr>
          <w:bCs/>
          <w:sz w:val="24"/>
          <w:szCs w:val="24"/>
          <w:lang w:eastAsia="ru-RU"/>
        </w:rPr>
        <w:t>Здания дошкольных образовательных организаций. Правила проектирования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bCs/>
          <w:sz w:val="24"/>
          <w:szCs w:val="24"/>
          <w:lang w:eastAsia="ru-RU"/>
        </w:rPr>
        <w:t>Ведомственные строительные нормы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ВСН 01-89 Предприятия по обслуживанию автомобилей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ВСН 103-74 Технические указания по проектированию пересечений и примыканий автомобильных дорог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Санитарные правила и нормы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2.1.2882-11 Гигиенические требования к размещению, устройству и содержанию кладбищ, зданий и сооружений похоронного назначения</w:t>
      </w:r>
    </w:p>
    <w:p>
      <w:pPr>
        <w:pStyle w:val="011"/>
        <w:spacing w:lineRule="auto" w:line="240"/>
        <w:rPr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СанПиН2.1.2.2645-10 </w:t>
      </w:r>
      <w:r>
        <w:rPr>
          <w:sz w:val="24"/>
          <w:szCs w:val="24"/>
          <w:lang w:eastAsia="ru-RU"/>
        </w:rPr>
        <w:t xml:space="preserve">Санитарно-эпидемиологические требования к условиям проживания в жилых зданиях и помещениях </w:t>
      </w:r>
    </w:p>
    <w:p>
      <w:pPr>
        <w:pStyle w:val="011"/>
        <w:spacing w:lineRule="auto" w:line="240"/>
        <w:rPr>
          <w:lang w:eastAsia="ru-RU"/>
        </w:rPr>
      </w:pPr>
      <w:r>
        <w:rPr>
          <w:spacing w:val="-2"/>
          <w:sz w:val="24"/>
          <w:szCs w:val="24"/>
          <w:lang w:eastAsia="ru-RU"/>
        </w:rPr>
        <w:t>СанПиН</w:t>
      </w:r>
      <w:r>
        <w:rPr>
          <w:sz w:val="24"/>
          <w:szCs w:val="24"/>
          <w:lang w:eastAsia="ru-RU"/>
        </w:rPr>
        <w:t xml:space="preserve"> 2.1.3.2630-10 </w:t>
      </w:r>
      <w:r>
        <w:rPr>
          <w:spacing w:val="-2"/>
          <w:sz w:val="24"/>
          <w:szCs w:val="24"/>
          <w:lang w:eastAsia="ru-RU"/>
        </w:rPr>
        <w:t>Санитарно-эпидемиологические требования к организациям, осуществляющим медицинскую деятельность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>
      <w:pPr>
        <w:pStyle w:val="011"/>
        <w:spacing w:lineRule="auto" w:line="240"/>
        <w:rPr>
          <w:spacing w:val="-2"/>
          <w:lang w:eastAsia="ru-RU"/>
        </w:rPr>
      </w:pPr>
      <w:r>
        <w:rPr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>
      <w:pPr>
        <w:pStyle w:val="011"/>
        <w:spacing w:lineRule="auto" w:line="240"/>
        <w:rPr>
          <w:lang w:eastAsia="ru-RU"/>
        </w:rPr>
      </w:pPr>
      <w:r>
        <w:rPr>
          <w:kern w:val="2"/>
          <w:sz w:val="24"/>
          <w:szCs w:val="24"/>
          <w:lang w:eastAsia="ar-SA"/>
        </w:rPr>
        <w:t>СанПиН 2.1.7.2790-10</w:t>
      </w:r>
      <w:r>
        <w:rPr>
          <w:sz w:val="24"/>
          <w:szCs w:val="24"/>
          <w:lang w:eastAsia="ru-RU"/>
        </w:rPr>
        <w:t xml:space="preserve"> Санитарно-эпидемиологические требования к обращению с медицинскими отходами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СанПиН 2.4.4.3172-14Санитарно-эпидемиологические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>
      <w:pPr>
        <w:pStyle w:val="011"/>
        <w:spacing w:lineRule="auto" w:line="240"/>
        <w:rPr/>
      </w:pPr>
      <w:r>
        <w:rPr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>
      <w:pPr>
        <w:pStyle w:val="011"/>
        <w:spacing w:lineRule="auto" w:line="24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Методические документы 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caps/>
          <w:lang w:eastAsia="ru-RU"/>
        </w:rPr>
      </w:pPr>
      <w:r>
        <w:rPr>
          <w:caps/>
          <w:spacing w:val="-2"/>
          <w:sz w:val="24"/>
          <w:szCs w:val="24"/>
          <w:lang w:eastAsia="ru-RU"/>
        </w:rPr>
        <w:t xml:space="preserve">МДС 35-1.2000 </w:t>
      </w:r>
      <w:r>
        <w:rPr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>
        <w:rPr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>
      <w:pPr>
        <w:pStyle w:val="011"/>
        <w:spacing w:lineRule="auto" w:line="240"/>
        <w:rPr>
          <w:caps/>
          <w:lang w:eastAsia="ru-RU"/>
        </w:rPr>
      </w:pPr>
      <w:r>
        <w:rPr>
          <w:caps/>
          <w:spacing w:val="-2"/>
          <w:sz w:val="24"/>
          <w:szCs w:val="24"/>
          <w:lang w:eastAsia="ru-RU"/>
        </w:rPr>
        <w:t xml:space="preserve">МДС 35-2.2000 </w:t>
      </w:r>
      <w:r>
        <w:rPr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>
        <w:rPr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 ПРАВИЛА И ОБЛАСТЬ ПРИМЕНЕНИЯ РАСЧЕТНЫХ ПОКАЗАТЕЛЕЙ, СОДЕРЖАЩИХСЯ В ОСНОВНОЙ ЧАСТИ МЕСТНЫХ НОРМАТИВОВ ГРАДОСТРОИТЕЛЬНОГО ПРОЕКТИРОВАНИЯ</w:t>
      </w:r>
      <w:bookmarkStart w:id="24" w:name="_Toc432515952"/>
      <w:bookmarkEnd w:id="24"/>
    </w:p>
    <w:p>
      <w:pPr>
        <w:pStyle w:val="ConsPlusNormal1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</w:t>
        <w:tab/>
        <w:t>доступности</w:t>
        <w:tab/>
        <w:t>таких объектов для населения муниципального района применяются: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района, иными объектами местного значения муниципального района, и расчетных показателей максимально допустимого уровня территориальной доступности таких объектов для населения. </w:t>
      </w:r>
    </w:p>
    <w:p>
      <w:pPr>
        <w:pStyle w:val="Normal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Погарского района, и расчетных показателей максимально допустимого уровня территориальной доступности таких объектов для населения Погарского района проверяется соблюдение положений нормативов градостроительного проектирования муниципального района, в части соблюдения расчетных показателей.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Настоящие нормативы градостроительного проектирования муниципального района действуют на всей территории Погарского  района Брянской области.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Погарского  района распространяются на проектирование новых и реконструкцию существующих городских и сельских поселений </w:t>
      </w:r>
      <w:bookmarkStart w:id="25" w:name="__DdeLink__3685_347259548"/>
      <w:r>
        <w:rPr>
          <w:color w:val="000000"/>
          <w:sz w:val="24"/>
          <w:szCs w:val="24"/>
        </w:rPr>
        <w:t xml:space="preserve">Погарского </w:t>
      </w:r>
      <w:bookmarkEnd w:id="25"/>
      <w:r>
        <w:rPr>
          <w:color w:val="000000"/>
          <w:sz w:val="24"/>
          <w:szCs w:val="24"/>
        </w:rPr>
        <w:t xml:space="preserve">района, конкретизируют требования </w:t>
      </w:r>
      <w:r>
        <w:rPr>
          <w:bCs/>
          <w:sz w:val="24"/>
          <w:szCs w:val="24"/>
        </w:rPr>
        <w:t xml:space="preserve">СП 42.13330.2016 </w:t>
      </w:r>
      <w:r>
        <w:rPr>
          <w:color w:val="000000"/>
          <w:sz w:val="24"/>
          <w:szCs w:val="24"/>
        </w:rPr>
        <w:t xml:space="preserve">Свод правил «Градостроительство. Планировка и застройка городских и сельских поселений» (Актуализированная редакция СНиП 2.07.01-89*),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– Погарским </w:t>
      </w:r>
      <w:r>
        <w:rPr>
          <w:sz w:val="24"/>
          <w:szCs w:val="24"/>
        </w:rPr>
        <w:t>районным Советом народных депутатов.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Погарского района  применяются в следующих случаях: 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планов и программ комплексного социально-экономического развития района;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подготовке и согласовании проекта Схемы территориального планирования Погарского района, а также проекта внесения в нее изменений,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утверждении Схемы территориального планирования Погарского района, а также проекта внесения в нее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и утверждении Генеральных планов поселений, а также проектов внесения в них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согласовании проектов Генеральных планов поселений, а также проектов внесения в них изменений,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проведении публичных слушаний по проектам Генеральных планов поселений, а также по проектам внесении в них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и утверждении Правил землепользования и застройки поселений;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 подготовке и утверждении документации по планировке территории; 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поселений;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района, и расчетных показателей максимально допустимого уровня территориальной доступности таких объектов для населения района.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color w:val="000000"/>
          <w:sz w:val="24"/>
          <w:szCs w:val="24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1"/>
        <w:spacing w:lineRule="auto" w:line="240" w:before="69" w:after="0"/>
        <w:jc w:val="right"/>
        <w:rPr>
          <w:b w:val="false"/>
          <w:b w:val="false"/>
          <w:bCs w:val="false"/>
        </w:rPr>
      </w:pPr>
      <w:bookmarkStart w:id="26" w:name="_Toc474936746"/>
      <w:r>
        <w:rPr>
          <w:b w:val="false"/>
          <w:bCs w:val="false"/>
          <w:sz w:val="24"/>
          <w:szCs w:val="24"/>
        </w:rPr>
        <w:t xml:space="preserve">Приложение </w:t>
      </w:r>
      <w:bookmarkEnd w:id="26"/>
      <w:r>
        <w:rPr>
          <w:b w:val="false"/>
          <w:bCs w:val="false"/>
          <w:sz w:val="24"/>
          <w:szCs w:val="24"/>
        </w:rPr>
        <w:t>1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к местным нормативам</w:t>
      </w:r>
    </w:p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 проектирования</w:t>
      </w:r>
    </w:p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Погарского района Брянской области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 xml:space="preserve">НОРМЫ РАСЧЕТА СТОЯНОК ДЛЯ ВРЕМЕННОГО 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ХРАНЕНИЯ ЛЕГКОВЫХ АВТОМОБИЛЕЙ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0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60"/>
        <w:gridCol w:w="1815"/>
        <w:gridCol w:w="2430"/>
      </w:tblGrid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Объекты посещения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Расчетные единицы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Число машино-мест на расчетную единицу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служащих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– 35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служащих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– 35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25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Торговые центры, универмаги, магазины с площадью торгового зала больше 200 кв.м </w:t>
            </w:r>
            <w:hyperlink w:anchor="P1725">
              <w:r>
                <w:rPr>
                  <w:rStyle w:val="ListLabel3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кв.м торговой площади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Рынки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торговых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– 50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Музеи, выставки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12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гостиницы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Больницы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коек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– 6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Поликлиники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посещений в смену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– 3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пассажиров, в "час пик"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– 7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Пляжи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Лесопарки и заповедники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Базы отдыха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– 5</w:t>
            </w:r>
          </w:p>
        </w:tc>
      </w:tr>
      <w:tr>
        <w:trPr>
          <w:trHeight w:val="501" w:hRule="atLeas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расчетной вместимости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56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ind w:left="0" w:hanging="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locked="1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6e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85a05"/>
    <w:pPr>
      <w:keepNext w:val="true"/>
      <w:spacing w:before="240" w:after="60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Normal"/>
    <w:next w:val="Style31"/>
    <w:link w:val="20"/>
    <w:uiPriority w:val="99"/>
    <w:qFormat/>
    <w:rsid w:val="00f7455a"/>
    <w:pPr>
      <w:keepNext w:val="true"/>
      <w:tabs>
        <w:tab w:val="left" w:pos="1134" w:leader="none"/>
        <w:tab w:val="left" w:pos="1276" w:leader="none"/>
      </w:tabs>
      <w:spacing w:before="180" w:after="60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585a05"/>
    <w:pPr>
      <w:keepNext w:val="true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Normal"/>
    <w:next w:val="Normal"/>
    <w:link w:val="40"/>
    <w:uiPriority w:val="99"/>
    <w:qFormat/>
    <w:locked/>
    <w:rsid w:val="00d05dfa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uiPriority w:val="99"/>
    <w:qFormat/>
    <w:locked/>
    <w:rsid w:val="00d05dfa"/>
    <w:pPr>
      <w:keepNext w:val="true"/>
      <w:keepLines/>
      <w:widowControl w:val="false"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585a05"/>
    <w:rPr>
      <w:rFonts w:cs="Times New Roman"/>
      <w:b/>
      <w:bCs/>
      <w:kern w:val="2"/>
      <w:sz w:val="32"/>
      <w:szCs w:val="32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f7455a"/>
    <w:rPr>
      <w:rFonts w:eastAsia="Times New Roman" w:cs="Times New Roman"/>
      <w:sz w:val="28"/>
      <w:szCs w:val="28"/>
      <w:lang w:val="ru-RU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585a05"/>
    <w:rPr>
      <w:rFonts w:ascii="Arial" w:hAnsi="Arial" w:cs="Arial"/>
      <w:b/>
      <w:bCs/>
      <w:lang w:val="ru-RU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05df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d05dfa"/>
    <w:rPr>
      <w:rFonts w:ascii="Cambria" w:hAnsi="Cambria" w:cs="Times New Roman"/>
      <w:color w:val="243F60"/>
      <w:sz w:val="20"/>
      <w:szCs w:val="20"/>
    </w:rPr>
  </w:style>
  <w:style w:type="character" w:styleId="Style9" w:customStyle="1">
    <w:name w:val="Список Знак"/>
    <w:link w:val="a"/>
    <w:uiPriority w:val="99"/>
    <w:qFormat/>
    <w:locked/>
    <w:rsid w:val="00f7455a"/>
    <w:rPr>
      <w:rFonts w:ascii="Calibri" w:hAnsi="Calibri"/>
      <w:sz w:val="24"/>
      <w:szCs w:val="24"/>
    </w:rPr>
  </w:style>
  <w:style w:type="character" w:styleId="Style10" w:customStyle="1">
    <w:name w:val="Абзац Знак"/>
    <w:link w:val="a1"/>
    <w:uiPriority w:val="99"/>
    <w:qFormat/>
    <w:locked/>
    <w:rsid w:val="00f7455a"/>
    <w:rPr>
      <w:sz w:val="24"/>
      <w:lang w:val="ru-RU"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locked/>
    <w:rsid w:val="00585a05"/>
    <w:rPr>
      <w:rFonts w:eastAsia="Times New Roman" w:cs="Times New Roman"/>
      <w:sz w:val="22"/>
      <w:szCs w:val="22"/>
      <w:lang w:val="ru-RU"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qFormat/>
    <w:locked/>
    <w:rsid w:val="00585a05"/>
    <w:rPr>
      <w:rFonts w:eastAsia="Times New Roman" w:cs="Times New Roman"/>
      <w:sz w:val="22"/>
      <w:szCs w:val="22"/>
      <w:lang w:val="ru-RU" w:eastAsia="ru-RU"/>
    </w:rPr>
  </w:style>
  <w:style w:type="character" w:styleId="Style13" w:customStyle="1">
    <w:name w:val="Без интервала Знак"/>
    <w:link w:val="ab"/>
    <w:uiPriority w:val="99"/>
    <w:qFormat/>
    <w:locked/>
    <w:rsid w:val="00585a05"/>
    <w:rPr>
      <w:sz w:val="22"/>
      <w:szCs w:val="22"/>
      <w:lang w:val="ru-RU" w:eastAsia="ru-RU" w:bidi="ar-SA"/>
    </w:rPr>
  </w:style>
  <w:style w:type="character" w:styleId="13" w:customStyle="1">
    <w:name w:val="Знак Знак13"/>
    <w:uiPriority w:val="99"/>
    <w:qFormat/>
    <w:rsid w:val="00585a05"/>
    <w:rPr>
      <w:rFonts w:ascii="Arial" w:hAnsi="Arial"/>
      <w:b/>
      <w:i/>
      <w:sz w:val="28"/>
    </w:rPr>
  </w:style>
  <w:style w:type="character" w:styleId="Appleconvertedspace" w:customStyle="1">
    <w:name w:val="apple-converted-space"/>
    <w:uiPriority w:val="99"/>
    <w:qFormat/>
    <w:rsid w:val="00585a05"/>
    <w:rPr/>
  </w:style>
  <w:style w:type="character" w:styleId="Style14" w:customStyle="1">
    <w:name w:val="Текст сноски Знак"/>
    <w:basedOn w:val="DefaultParagraphFont"/>
    <w:link w:val="af0"/>
    <w:uiPriority w:val="99"/>
    <w:semiHidden/>
    <w:qFormat/>
    <w:locked/>
    <w:rsid w:val="00585a05"/>
    <w:rPr>
      <w:rFonts w:ascii="Arial" w:hAnsi="Arial" w:cs="Arial"/>
      <w:lang w:val="ru-RU"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585a0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qFormat/>
    <w:rsid w:val="00585a05"/>
    <w:rPr>
      <w:rFonts w:cs="Times New Roman"/>
    </w:rPr>
  </w:style>
  <w:style w:type="character" w:styleId="Grame" w:customStyle="1">
    <w:name w:val="grame"/>
    <w:uiPriority w:val="99"/>
    <w:qFormat/>
    <w:rsid w:val="00585a05"/>
    <w:rPr/>
  </w:style>
  <w:style w:type="character" w:styleId="Style16" w:customStyle="1">
    <w:name w:val="Текст Знак"/>
    <w:basedOn w:val="DefaultParagraphFont"/>
    <w:link w:val="af4"/>
    <w:uiPriority w:val="99"/>
    <w:qFormat/>
    <w:locked/>
    <w:rsid w:val="00585a05"/>
    <w:rPr>
      <w:rFonts w:ascii="Courier New" w:hAnsi="Courier New" w:cs="Courier New"/>
      <w:lang w:val="ru-RU" w:eastAsia="ru-RU"/>
    </w:rPr>
  </w:style>
  <w:style w:type="character" w:styleId="Spelle" w:customStyle="1">
    <w:name w:val="spelle"/>
    <w:uiPriority w:val="99"/>
    <w:qFormat/>
    <w:rsid w:val="00585a05"/>
    <w:rPr/>
  </w:style>
  <w:style w:type="character" w:styleId="Style17">
    <w:name w:val="Интернет-ссылка"/>
    <w:basedOn w:val="DefaultParagraphFont"/>
    <w:uiPriority w:val="99"/>
    <w:rsid w:val="00585a05"/>
    <w:rPr>
      <w:rFonts w:cs="Times New Roman"/>
      <w:color w:val="000000"/>
      <w:u w:val="none"/>
      <w:effect w:val="non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585a05"/>
    <w:rPr>
      <w:rFonts w:ascii="Courier New" w:hAnsi="Courier New" w:cs="Courier New"/>
      <w:color w:val="000000"/>
      <w:lang w:val="ru-RU" w:eastAsia="ru-RU"/>
    </w:rPr>
  </w:style>
  <w:style w:type="character" w:styleId="F" w:customStyle="1">
    <w:name w:val="f"/>
    <w:uiPriority w:val="99"/>
    <w:qFormat/>
    <w:rsid w:val="00585a05"/>
    <w:rPr/>
  </w:style>
  <w:style w:type="character" w:styleId="Style18" w:customStyle="1">
    <w:name w:val="Основной текст с отступом Знак"/>
    <w:basedOn w:val="DefaultParagraphFont"/>
    <w:link w:val="af7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85a05"/>
    <w:rPr>
      <w:rFonts w:cs="Times New Roman"/>
      <w:b/>
      <w:bCs/>
    </w:rPr>
  </w:style>
  <w:style w:type="character" w:styleId="Style19" w:customStyle="1">
    <w:name w:val="Основной текст Знак"/>
    <w:basedOn w:val="DefaultParagraphFont"/>
    <w:link w:val="afa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tyle20" w:customStyle="1">
    <w:name w:val="Текст выноски Знак"/>
    <w:basedOn w:val="DefaultParagraphFont"/>
    <w:link w:val="afc"/>
    <w:uiPriority w:val="99"/>
    <w:semiHidden/>
    <w:qFormat/>
    <w:locked/>
    <w:rsid w:val="00585a05"/>
    <w:rPr>
      <w:rFonts w:ascii="Tahoma" w:hAnsi="Tahoma" w:cs="Tahoma"/>
      <w:sz w:val="16"/>
      <w:szCs w:val="16"/>
      <w:lang w:val="ru-RU"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1" w:customStyle="1">
    <w:name w:val="S_Маркированный Знак1"/>
    <w:link w:val="S"/>
    <w:uiPriority w:val="99"/>
    <w:qFormat/>
    <w:locked/>
    <w:rsid w:val="00585a05"/>
    <w:rPr>
      <w:sz w:val="24"/>
    </w:rPr>
  </w:style>
  <w:style w:type="character" w:styleId="S" w:customStyle="1">
    <w:name w:val="S_Обычный Знак"/>
    <w:link w:val="S0"/>
    <w:uiPriority w:val="99"/>
    <w:qFormat/>
    <w:locked/>
    <w:rsid w:val="00585a05"/>
    <w:rPr>
      <w:rFonts w:ascii="Arial" w:hAnsi="Arial"/>
      <w:sz w:val="24"/>
      <w:lang w:val="ru-RU" w:eastAsia="ru-RU"/>
    </w:rPr>
  </w:style>
  <w:style w:type="character" w:styleId="S2" w:customStyle="1">
    <w:name w:val="S_Таблица Знак"/>
    <w:link w:val="S3"/>
    <w:uiPriority w:val="99"/>
    <w:qFormat/>
    <w:locked/>
    <w:rsid w:val="00585a05"/>
    <w:rPr>
      <w:rFonts w:ascii="Arial" w:hAnsi="Arial"/>
      <w:color w:val="008000"/>
      <w:sz w:val="24"/>
      <w:lang w:val="ru-RU" w:eastAsia="ru-RU"/>
    </w:rPr>
  </w:style>
  <w:style w:type="character" w:styleId="S3" w:customStyle="1">
    <w:name w:val="S_Обычный в таблице Знак"/>
    <w:link w:val="S6"/>
    <w:uiPriority w:val="99"/>
    <w:qFormat/>
    <w:locked/>
    <w:rsid w:val="00585a05"/>
    <w:rPr>
      <w:sz w:val="24"/>
      <w:lang w:eastAsia="en-US"/>
    </w:rPr>
  </w:style>
  <w:style w:type="character" w:styleId="Style21" w:customStyle="1">
    <w:name w:val="Текст примечания Знак"/>
    <w:basedOn w:val="DefaultParagraphFont"/>
    <w:link w:val="aff0"/>
    <w:uiPriority w:val="99"/>
    <w:semiHidden/>
    <w:qFormat/>
    <w:locked/>
    <w:rsid w:val="00585a05"/>
    <w:rPr>
      <w:rFonts w:ascii="Arial" w:hAnsi="Arial" w:cs="Arial"/>
      <w:lang w:val="ru-RU" w:eastAsia="ru-RU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qFormat/>
    <w:locked/>
    <w:rsid w:val="00585a05"/>
    <w:rPr>
      <w:rFonts w:ascii="Arial" w:hAnsi="Arial" w:cs="Arial"/>
      <w:sz w:val="16"/>
      <w:szCs w:val="16"/>
      <w:lang w:val="ru-RU" w:eastAsia="ru-RU"/>
    </w:rPr>
  </w:style>
  <w:style w:type="character" w:styleId="FontStyle11" w:customStyle="1">
    <w:name w:val="Font Style11"/>
    <w:uiPriority w:val="99"/>
    <w:qFormat/>
    <w:rsid w:val="00585a05"/>
    <w:rPr>
      <w:rFonts w:ascii="Times New Roman" w:hAnsi="Times New Roman"/>
      <w:sz w:val="26"/>
    </w:rPr>
  </w:style>
  <w:style w:type="character" w:styleId="Applestylespan" w:customStyle="1">
    <w:name w:val="apple-style-span"/>
    <w:uiPriority w:val="99"/>
    <w:qFormat/>
    <w:rsid w:val="00585a05"/>
    <w:rPr/>
  </w:style>
  <w:style w:type="character" w:styleId="Text11" w:customStyle="1">
    <w:name w:val="text11"/>
    <w:uiPriority w:val="99"/>
    <w:qFormat/>
    <w:rsid w:val="00585a05"/>
    <w:rPr>
      <w:b/>
      <w:color w:val="auto"/>
      <w:sz w:val="20"/>
      <w:u w:val="single"/>
    </w:rPr>
  </w:style>
  <w:style w:type="character" w:styleId="Highlighthighlightactive" w:customStyle="1">
    <w:name w:val="highlight highlight_active"/>
    <w:uiPriority w:val="99"/>
    <w:qFormat/>
    <w:rsid w:val="00585a05"/>
    <w:rPr/>
  </w:style>
  <w:style w:type="character" w:styleId="Context" w:customStyle="1">
    <w:name w:val="context"/>
    <w:uiPriority w:val="99"/>
    <w:qFormat/>
    <w:rsid w:val="00585a05"/>
    <w:rPr/>
  </w:style>
  <w:style w:type="character" w:styleId="Contextcurrent" w:customStyle="1">
    <w:name w:val="context_current"/>
    <w:uiPriority w:val="99"/>
    <w:qFormat/>
    <w:rsid w:val="00585a05"/>
    <w:rPr/>
  </w:style>
  <w:style w:type="character" w:styleId="WW8Num4z1" w:customStyle="1">
    <w:name w:val="WW8Num4z1"/>
    <w:uiPriority w:val="99"/>
    <w:qFormat/>
    <w:rsid w:val="00585a05"/>
    <w:rPr>
      <w:rFonts w:ascii="Courier New" w:hAnsi="Courier New"/>
    </w:rPr>
  </w:style>
  <w:style w:type="character" w:styleId="Match" w:customStyle="1">
    <w:name w:val="match"/>
    <w:uiPriority w:val="99"/>
    <w:qFormat/>
    <w:rsid w:val="00585a05"/>
    <w:rPr/>
  </w:style>
  <w:style w:type="character" w:styleId="Visited" w:customStyle="1">
    <w:name w:val="visited"/>
    <w:uiPriority w:val="99"/>
    <w:qFormat/>
    <w:rsid w:val="00585a05"/>
    <w:rPr/>
  </w:style>
  <w:style w:type="character" w:styleId="FontStyle15" w:customStyle="1">
    <w:name w:val="Font Style15"/>
    <w:uiPriority w:val="99"/>
    <w:qFormat/>
    <w:rsid w:val="00585a05"/>
    <w:rPr>
      <w:rFonts w:ascii="Times New Roman" w:hAnsi="Times New Roman"/>
      <w:sz w:val="24"/>
    </w:rPr>
  </w:style>
  <w:style w:type="character" w:styleId="Normal1" w:customStyle="1">
    <w:name w:val="Normal Знак"/>
    <w:uiPriority w:val="99"/>
    <w:qFormat/>
    <w:locked/>
    <w:rsid w:val="00585a05"/>
    <w:rPr>
      <w:sz w:val="24"/>
      <w:lang w:val="ru-RU" w:eastAsia="ru-RU"/>
    </w:rPr>
  </w:style>
  <w:style w:type="character" w:styleId="Normal10022" w:customStyle="1">
    <w:name w:val="Стиль Normal + 10 пт полужирный По центру Слева:  -02 см Справ...2 Знак"/>
    <w:link w:val="Normal10-022"/>
    <w:uiPriority w:val="99"/>
    <w:qFormat/>
    <w:locked/>
    <w:rsid w:val="00585a05"/>
    <w:rPr>
      <w:b/>
      <w:lang w:val="ru-RU" w:eastAsia="ru-RU"/>
    </w:rPr>
  </w:style>
  <w:style w:type="character" w:styleId="FontStyle88" w:customStyle="1">
    <w:name w:val="Font Style88"/>
    <w:uiPriority w:val="99"/>
    <w:qFormat/>
    <w:rsid w:val="00585a05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qFormat/>
    <w:rsid w:val="00585a05"/>
    <w:rPr>
      <w:rFonts w:cs="Times New Roman"/>
      <w:color w:val="800080"/>
      <w:u w:val="single"/>
    </w:rPr>
  </w:style>
  <w:style w:type="character" w:styleId="Nobase" w:customStyle="1">
    <w:name w:val="nobase"/>
    <w:uiPriority w:val="99"/>
    <w:qFormat/>
    <w:rsid w:val="00585a05"/>
    <w:rPr/>
  </w:style>
  <w:style w:type="character" w:styleId="Style22" w:customStyle="1">
    <w:name w:val="Схема документа Знак"/>
    <w:basedOn w:val="DefaultParagraphFont"/>
    <w:link w:val="aff7"/>
    <w:uiPriority w:val="99"/>
    <w:qFormat/>
    <w:locked/>
    <w:rsid w:val="00585a05"/>
    <w:rPr>
      <w:rFonts w:ascii="Tahoma" w:hAnsi="Tahoma" w:cs="Tahoma"/>
      <w:b/>
      <w:bCs/>
      <w:sz w:val="16"/>
      <w:szCs w:val="16"/>
      <w:lang w:val="ru-RU" w:eastAsia="ru-RU"/>
    </w:rPr>
  </w:style>
  <w:style w:type="character" w:styleId="9" w:customStyle="1">
    <w:name w:val="Знак Знак9"/>
    <w:uiPriority w:val="99"/>
    <w:semiHidden/>
    <w:qFormat/>
    <w:rsid w:val="00585a05"/>
    <w:rPr>
      <w:rFonts w:ascii="Arial" w:hAnsi="Arial"/>
      <w:lang w:val="ru-RU"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585a05"/>
    <w:rPr>
      <w:rFonts w:cs="Times New Roman"/>
      <w:sz w:val="16"/>
      <w:szCs w:val="16"/>
    </w:rPr>
  </w:style>
  <w:style w:type="character" w:styleId="Style23" w:customStyle="1">
    <w:name w:val="Тема примечания Знак"/>
    <w:basedOn w:val="Style21"/>
    <w:link w:val="affa"/>
    <w:uiPriority w:val="99"/>
    <w:semiHidden/>
    <w:qFormat/>
    <w:locked/>
    <w:rsid w:val="00585a05"/>
    <w:rPr>
      <w:rFonts w:ascii="Arial" w:hAnsi="Arial" w:cs="Arial"/>
      <w:b/>
      <w:bCs/>
      <w:lang w:val="ru-RU"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936aa1"/>
    <w:rPr>
      <w:rFonts w:ascii="Arial" w:hAnsi="Arial"/>
      <w:sz w:val="22"/>
      <w:szCs w:val="22"/>
      <w:lang w:val="ru-RU" w:eastAsia="ru-RU" w:bidi="ar-SA"/>
    </w:rPr>
  </w:style>
  <w:style w:type="character" w:styleId="24" w:customStyle="1">
    <w:name w:val="Название объекта Знак2"/>
    <w:link w:val="affc"/>
    <w:uiPriority w:val="99"/>
    <w:qFormat/>
    <w:locked/>
    <w:rsid w:val="00936aa1"/>
    <w:rPr>
      <w:b/>
      <w:sz w:val="24"/>
      <w:lang w:val="ru-RU" w:eastAsia="ru-RU"/>
    </w:rPr>
  </w:style>
  <w:style w:type="character" w:styleId="Detailedfull" w:customStyle="1">
    <w:name w:val="detailed_full"/>
    <w:basedOn w:val="DefaultParagraphFont"/>
    <w:uiPriority w:val="99"/>
    <w:qFormat/>
    <w:rsid w:val="00d05dfa"/>
    <w:rPr>
      <w:rFonts w:ascii="Tahoma" w:hAnsi="Tahoma" w:cs="Tahoma"/>
      <w:color w:val="333333"/>
      <w:sz w:val="20"/>
      <w:szCs w:val="20"/>
    </w:rPr>
  </w:style>
  <w:style w:type="character" w:styleId="Detailedtags" w:customStyle="1">
    <w:name w:val="detailed_tags"/>
    <w:basedOn w:val="DefaultParagraphFont"/>
    <w:uiPriority w:val="99"/>
    <w:qFormat/>
    <w:rsid w:val="00d05dfa"/>
    <w:rPr>
      <w:rFonts w:ascii="Tahoma" w:hAnsi="Tahoma" w:cs="Tahoma"/>
      <w:color w:val="555557"/>
      <w:sz w:val="20"/>
      <w:szCs w:val="20"/>
    </w:rPr>
  </w:style>
  <w:style w:type="character" w:styleId="Sep7" w:customStyle="1">
    <w:name w:val="sep7"/>
    <w:basedOn w:val="DefaultParagraphFont"/>
    <w:uiPriority w:val="99"/>
    <w:qFormat/>
    <w:rsid w:val="00d05dfa"/>
    <w:rPr>
      <w:rFonts w:ascii="Tahoma" w:hAnsi="Tahoma" w:cs="Tahoma"/>
      <w:color w:val="333333"/>
      <w:sz w:val="20"/>
      <w:szCs w:val="20"/>
    </w:rPr>
  </w:style>
  <w:style w:type="character" w:styleId="Style24">
    <w:name w:val="Выделение"/>
    <w:basedOn w:val="DefaultParagraphFont"/>
    <w:uiPriority w:val="99"/>
    <w:qFormat/>
    <w:locked/>
    <w:rsid w:val="00d05dfa"/>
    <w:rPr>
      <w:rFonts w:cs="Times New Roman"/>
      <w:i/>
      <w:iCs/>
    </w:rPr>
  </w:style>
  <w:style w:type="character" w:styleId="Sep" w:customStyle="1">
    <w:name w:val="sep"/>
    <w:basedOn w:val="DefaultParagraphFont"/>
    <w:uiPriority w:val="99"/>
    <w:qFormat/>
    <w:rsid w:val="00d05dfa"/>
    <w:rPr>
      <w:rFonts w:cs="Times New Roman"/>
    </w:rPr>
  </w:style>
  <w:style w:type="character" w:styleId="Displaynone" w:customStyle="1">
    <w:name w:val="displaynone"/>
    <w:basedOn w:val="DefaultParagraphFont"/>
    <w:uiPriority w:val="99"/>
    <w:qFormat/>
    <w:rsid w:val="00d05dfa"/>
    <w:rPr>
      <w:rFonts w:cs="Times New Roman"/>
    </w:rPr>
  </w:style>
  <w:style w:type="character" w:styleId="Plusocounter" w:customStyle="1">
    <w:name w:val="pluso-counter"/>
    <w:basedOn w:val="DefaultParagraphFont"/>
    <w:uiPriority w:val="99"/>
    <w:qFormat/>
    <w:rsid w:val="00d05dfa"/>
    <w:rPr>
      <w:rFonts w:cs="Times New Roman"/>
    </w:rPr>
  </w:style>
  <w:style w:type="character" w:styleId="Instrcount3" w:customStyle="1">
    <w:name w:val="instr-count3"/>
    <w:basedOn w:val="DefaultParagraphFont"/>
    <w:uiPriority w:val="99"/>
    <w:qFormat/>
    <w:rsid w:val="00d05dfa"/>
    <w:rPr>
      <w:rFonts w:cs="Times New Roman"/>
      <w:color w:val="777777"/>
      <w:sz w:val="38"/>
      <w:szCs w:val="38"/>
      <w:shd w:fill="FFFFFF" w:val="clear"/>
    </w:rPr>
  </w:style>
  <w:style w:type="character" w:styleId="Bol1" w:customStyle="1">
    <w:name w:val="bol1"/>
    <w:basedOn w:val="DefaultParagraphFont"/>
    <w:uiPriority w:val="99"/>
    <w:qFormat/>
    <w:rsid w:val="00d05dfa"/>
    <w:rPr>
      <w:rFonts w:ascii="Verdana" w:hAnsi="Verdana" w:cs="Times New Roman"/>
      <w:b/>
      <w:bCs/>
    </w:rPr>
  </w:style>
  <w:style w:type="character" w:styleId="12" w:customStyle="1">
    <w:name w:val="Основной шрифт абзаца1"/>
    <w:uiPriority w:val="99"/>
    <w:qFormat/>
    <w:rsid w:val="00d05dfa"/>
    <w:rPr/>
  </w:style>
  <w:style w:type="character" w:styleId="14" w:customStyle="1">
    <w:name w:val="Основной текст Знак1"/>
    <w:uiPriority w:val="99"/>
    <w:qFormat/>
    <w:rsid w:val="00d05dfa"/>
    <w:rPr>
      <w:rFonts w:ascii="Times New Roman" w:hAnsi="Times New Roman"/>
      <w:sz w:val="17"/>
      <w:u w:val="none"/>
    </w:rPr>
  </w:style>
  <w:style w:type="character" w:styleId="WWAbsatzStandardschriftart1111111111111111111111111" w:customStyle="1">
    <w:name w:val="WW-Absatz-Standardschriftart1111111111111111111111111"/>
    <w:uiPriority w:val="99"/>
    <w:qFormat/>
    <w:rsid w:val="00d05dfa"/>
    <w:rPr/>
  </w:style>
  <w:style w:type="character" w:styleId="Ftshit" w:customStyle="1">
    <w:name w:val="fts-hit"/>
    <w:basedOn w:val="DefaultParagraphFont"/>
    <w:uiPriority w:val="99"/>
    <w:qFormat/>
    <w:rsid w:val="00d05dfa"/>
    <w:rPr>
      <w:rFonts w:cs="Times New Roman"/>
    </w:rPr>
  </w:style>
  <w:style w:type="character" w:styleId="01" w:customStyle="1">
    <w:name w:val="01 обычный текст Знак"/>
    <w:basedOn w:val="DefaultParagraphFont"/>
    <w:link w:val="010"/>
    <w:uiPriority w:val="99"/>
    <w:qFormat/>
    <w:locked/>
    <w:rsid w:val="00272a45"/>
    <w:rPr>
      <w:sz w:val="24"/>
      <w:szCs w:val="24"/>
      <w:lang w:val="ru-RU" w:eastAsia="en-US" w:bidi="ar-SA"/>
    </w:rPr>
  </w:style>
  <w:style w:type="character" w:styleId="Style25" w:customStyle="1">
    <w:name w:val="Основной текст_"/>
    <w:basedOn w:val="DefaultParagraphFont"/>
    <w:link w:val="2c"/>
    <w:qFormat/>
    <w:rsid w:val="0051238a"/>
    <w:rPr>
      <w:sz w:val="20"/>
      <w:szCs w:val="20"/>
      <w:shd w:fill="FFFFFF" w:val="clear"/>
    </w:rPr>
  </w:style>
  <w:style w:type="character" w:styleId="115pt0pt" w:customStyle="1">
    <w:name w:val="Основной текст + 11;5 pt;Интервал 0 pt"/>
    <w:basedOn w:val="Style25"/>
    <w:qFormat/>
    <w:rsid w:val="0051238a"/>
    <w:rPr>
      <w:color w:val="000000"/>
      <w:spacing w:val="-4"/>
      <w:w w:val="100"/>
      <w:sz w:val="23"/>
      <w:szCs w:val="23"/>
      <w:shd w:fill="FFFFFF" w:val="clear"/>
      <w:lang w:val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/>
      <w:color w:val="auto"/>
      <w:sz w:val="24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sz w:val="20"/>
      <w:szCs w:val="20"/>
    </w:rPr>
  </w:style>
  <w:style w:type="character" w:styleId="ListLabel34">
    <w:name w:val="ListLabel 34"/>
    <w:qFormat/>
    <w:rPr>
      <w:rFonts w:cs="Symbol"/>
      <w:color w:val="auto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Times New Roman"/>
      <w:color w:val="auto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  <w:color w:val="auto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Times New Roman"/>
      <w:color w:val="auto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/>
  </w:style>
  <w:style w:type="character" w:styleId="ListLabel71">
    <w:name w:val="ListLabel 71"/>
    <w:qFormat/>
    <w:rPr>
      <w:sz w:val="20"/>
      <w:szCs w:val="20"/>
    </w:rPr>
  </w:style>
  <w:style w:type="character" w:styleId="ListLabel72">
    <w:name w:val="ListLabel 72"/>
    <w:qFormat/>
    <w:rPr>
      <w:rFonts w:cs="Symbol"/>
      <w:color w:val="auto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Times New Roman"/>
      <w:color w:val="auto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Times New Roman"/>
      <w:color w:val="auto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Times New Roman"/>
      <w:color w:val="auto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>
      <w:sz w:val="20"/>
      <w:szCs w:val="20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110">
    <w:name w:val="ListLabel 110"/>
    <w:qFormat/>
    <w:rPr>
      <w:rFonts w:cs="Symbol"/>
      <w:color w:val="auto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Times New Roman"/>
      <w:color w:val="auto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Times New Roman"/>
      <w:color w:val="auto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Times New Roman"/>
      <w:color w:val="auto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/>
  </w:style>
  <w:style w:type="character" w:styleId="ListLabel147">
    <w:name w:val="ListLabel 147"/>
    <w:qFormat/>
    <w:rPr>
      <w:sz w:val="20"/>
      <w:szCs w:val="20"/>
    </w:rPr>
  </w:style>
  <w:style w:type="character" w:styleId="ListLabel148">
    <w:name w:val="ListLabel 148"/>
    <w:qFormat/>
    <w:rPr>
      <w:rFonts w:cs="Symbol"/>
      <w:color w:val="auto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Times New Roman"/>
      <w:color w:val="auto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Times New Roman"/>
      <w:color w:val="auto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Times New Roman"/>
      <w:color w:val="auto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/>
  </w:style>
  <w:style w:type="character" w:styleId="ListLabel185">
    <w:name w:val="ListLabel 185"/>
    <w:qFormat/>
    <w:rPr>
      <w:sz w:val="20"/>
      <w:szCs w:val="20"/>
    </w:rPr>
  </w:style>
  <w:style w:type="character" w:styleId="ListLabel186">
    <w:name w:val="ListLabel 186"/>
    <w:qFormat/>
    <w:rPr>
      <w:rFonts w:ascii="Times New Roman" w:hAnsi="Times New Roman" w:cs="Symbol"/>
      <w:color w:val="auto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Times New Roman" w:hAnsi="Times New Roman" w:cs="Times New Roman"/>
      <w:color w:val="auto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color w:val="auto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Times New Roman"/>
      <w:color w:val="auto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Times New Roman" w:hAnsi="Times New Roman"/>
      <w:sz w:val="24"/>
      <w:szCs w:val="24"/>
    </w:rPr>
  </w:style>
  <w:style w:type="character" w:styleId="ListLabel223">
    <w:name w:val="ListLabel 223"/>
    <w:qFormat/>
    <w:rPr>
      <w:rFonts w:ascii="Times New Roman" w:hAnsi="Times New Roman"/>
      <w:sz w:val="24"/>
      <w:szCs w:val="24"/>
    </w:rPr>
  </w:style>
  <w:style w:type="character" w:styleId="ListLabel224">
    <w:name w:val="ListLabel 224"/>
    <w:qFormat/>
    <w:rPr>
      <w:rFonts w:ascii="Times New Roman" w:hAnsi="Times New Roman" w:cs="Symbol"/>
      <w:color w:val="auto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Times New Roman"/>
      <w:color w:val="auto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Times New Roman"/>
      <w:color w:val="auto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Times New Roman"/>
      <w:color w:val="auto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262">
    <w:name w:val="ListLabel 262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 w:cs="Symbol"/>
      <w:color w:val="auto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Times New Roman"/>
      <w:color w:val="auto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Times New Roman"/>
      <w:color w:val="auto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Times New Roman"/>
      <w:color w:val="auto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sz w:val="24"/>
      <w:szCs w:val="24"/>
    </w:rPr>
  </w:style>
  <w:style w:type="character" w:styleId="ListLabel301">
    <w:name w:val="ListLabel 301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302">
    <w:name w:val="ListLabel 302"/>
    <w:qFormat/>
    <w:rPr>
      <w:sz w:val="24"/>
      <w:szCs w:val="24"/>
    </w:rPr>
  </w:style>
  <w:style w:type="character" w:styleId="ListLabel303">
    <w:name w:val="ListLabel 303"/>
    <w:qFormat/>
    <w:rPr>
      <w:rFonts w:ascii="Times New Roman" w:hAnsi="Times New Roman" w:cs="Symbol"/>
      <w:color w:val="auto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Times New Roman" w:hAnsi="Times New Roman" w:cs="Times New Roman"/>
      <w:color w:val="auto"/>
      <w:sz w:val="24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Times New Roman"/>
      <w:color w:val="auto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Times New Roman"/>
      <w:color w:val="auto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341">
    <w:name w:val="ListLabel 341"/>
    <w:qFormat/>
    <w:rPr>
      <w:sz w:val="24"/>
      <w:szCs w:val="24"/>
    </w:rPr>
  </w:style>
  <w:style w:type="character" w:styleId="CharStyle5">
    <w:name w:val="Char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ru-RU" w:bidi="ru-RU"/>
    </w:rPr>
  </w:style>
  <w:style w:type="paragraph" w:styleId="Style26" w:customStyle="1">
    <w:name w:val="Заголовок"/>
    <w:basedOn w:val="Normal"/>
    <w:next w:val="Style27"/>
    <w:uiPriority w:val="99"/>
    <w:qFormat/>
    <w:rsid w:val="00585a05"/>
    <w:pPr>
      <w:widowControl w:val="false"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7">
    <w:name w:val="Body Text"/>
    <w:basedOn w:val="Normal"/>
    <w:link w:val="afb"/>
    <w:uiPriority w:val="99"/>
    <w:rsid w:val="00585a05"/>
    <w:pPr>
      <w:spacing w:before="0" w:after="120"/>
    </w:pPr>
    <w:rPr>
      <w:rFonts w:ascii="Arial" w:hAnsi="Arial" w:cs="Arial"/>
    </w:rPr>
  </w:style>
  <w:style w:type="paragraph" w:styleId="Style28">
    <w:name w:val="List"/>
    <w:basedOn w:val="Normal"/>
    <w:link w:val="a6"/>
    <w:uiPriority w:val="99"/>
    <w:rsid w:val="00f7455a"/>
    <w:pPr>
      <w:spacing w:before="0" w:after="60"/>
      <w:jc w:val="both"/>
    </w:pPr>
    <w:rPr>
      <w:rFonts w:ascii="Calibri" w:hAnsi="Calib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 w:customStyle="1">
    <w:name w:val="Абзац"/>
    <w:basedOn w:val="Normal"/>
    <w:link w:val="a5"/>
    <w:uiPriority w:val="99"/>
    <w:qFormat/>
    <w:rsid w:val="00f7455a"/>
    <w:pPr>
      <w:spacing w:before="120" w:after="60"/>
      <w:ind w:firstLine="567"/>
      <w:jc w:val="both"/>
    </w:pPr>
    <w:rPr>
      <w:szCs w:val="20"/>
    </w:rPr>
  </w:style>
  <w:style w:type="paragraph" w:styleId="ConsPlusNormal1" w:customStyle="1">
    <w:name w:val="ConsPlusNormal"/>
    <w:link w:val="ConsPlusNormal0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2">
    <w:name w:val="Header"/>
    <w:basedOn w:val="Normal"/>
    <w:link w:val="a8"/>
    <w:uiPriority w:val="99"/>
    <w:rsid w:val="00585a05"/>
    <w:pPr>
      <w:tabs>
        <w:tab w:val="center" w:pos="4677" w:leader="none"/>
        <w:tab w:val="right" w:pos="9355" w:leader="none"/>
      </w:tabs>
      <w:ind w:firstLine="1418"/>
      <w:jc w:val="both"/>
    </w:pPr>
    <w:rPr>
      <w:sz w:val="22"/>
      <w:szCs w:val="22"/>
    </w:rPr>
  </w:style>
  <w:style w:type="paragraph" w:styleId="Style33">
    <w:name w:val="Footer"/>
    <w:basedOn w:val="Normal"/>
    <w:link w:val="aa"/>
    <w:uiPriority w:val="99"/>
    <w:rsid w:val="00585a05"/>
    <w:pPr>
      <w:tabs>
        <w:tab w:val="center" w:pos="4677" w:leader="none"/>
        <w:tab w:val="right" w:pos="9355" w:leader="none"/>
      </w:tabs>
      <w:ind w:firstLine="1418"/>
      <w:jc w:val="both"/>
    </w:pPr>
    <w:rPr>
      <w:sz w:val="22"/>
      <w:szCs w:val="22"/>
    </w:rPr>
  </w:style>
  <w:style w:type="paragraph" w:styleId="NoSpacing">
    <w:name w:val="No Spacing"/>
    <w:link w:val="ac"/>
    <w:uiPriority w:val="99"/>
    <w:qFormat/>
    <w:rsid w:val="00585a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85a0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</w:rPr>
  </w:style>
  <w:style w:type="paragraph" w:styleId="Style34" w:customStyle="1">
    <w:name w:val="Знак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ConsNormal" w:customStyle="1">
    <w:name w:val="ConsNormal"/>
    <w:uiPriority w:val="99"/>
    <w:qFormat/>
    <w:rsid w:val="00585a05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Style35">
    <w:name w:val="Footnote Text"/>
    <w:basedOn w:val="Normal"/>
    <w:link w:val="af1"/>
    <w:uiPriority w:val="99"/>
    <w:semiHidden/>
    <w:rsid w:val="00585a05"/>
    <w:pPr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af5"/>
    <w:uiPriority w:val="99"/>
    <w:qFormat/>
    <w:rsid w:val="00585a05"/>
    <w:pPr/>
    <w:rPr>
      <w:rFonts w:ascii="Courier New" w:hAnsi="Courier New" w:cs="Courier New"/>
      <w:sz w:val="20"/>
      <w:szCs w:val="20"/>
    </w:rPr>
  </w:style>
  <w:style w:type="paragraph" w:styleId="ConsNonformat" w:customStyle="1">
    <w:name w:val="ConsNonformat"/>
    <w:uiPriority w:val="99"/>
    <w:qFormat/>
    <w:rsid w:val="00585a05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qFormat/>
    <w:rsid w:val="00585a0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Style36">
    <w:name w:val="Body Text Indent"/>
    <w:basedOn w:val="Normal"/>
    <w:link w:val="af8"/>
    <w:uiPriority w:val="99"/>
    <w:rsid w:val="00585a05"/>
    <w:pPr>
      <w:spacing w:before="0" w:after="120"/>
      <w:ind w:left="283" w:hanging="0"/>
    </w:pPr>
    <w:rPr>
      <w:rFonts w:ascii="Arial" w:hAnsi="Arial" w:cs="Arial"/>
    </w:rPr>
  </w:style>
  <w:style w:type="paragraph" w:styleId="FR2" w:customStyle="1">
    <w:name w:val="FR2"/>
    <w:uiPriority w:val="99"/>
    <w:qFormat/>
    <w:rsid w:val="00585a05"/>
    <w:pPr>
      <w:widowControl w:val="false"/>
      <w:overflowPunct w:val="true"/>
      <w:bidi w:val="0"/>
      <w:ind w:firstLine="560"/>
      <w:jc w:val="both"/>
      <w:textAlignment w:val="baseline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Text" w:customStyle="1">
    <w:name w:val="text"/>
    <w:basedOn w:val="Normal"/>
    <w:next w:val="Normal"/>
    <w:uiPriority w:val="99"/>
    <w:qFormat/>
    <w:rsid w:val="00585a05"/>
    <w:pPr>
      <w:spacing w:before="28" w:after="28"/>
    </w:pPr>
    <w:rPr>
      <w:rFonts w:ascii="Arial" w:hAnsi="Arial" w:cs="Arial"/>
    </w:rPr>
  </w:style>
  <w:style w:type="paragraph" w:styleId="ListBullet3">
    <w:name w:val="List Bullet 3"/>
    <w:basedOn w:val="Normal"/>
    <w:uiPriority w:val="99"/>
    <w:qFormat/>
    <w:rsid w:val="00585a05"/>
    <w:pPr>
      <w:ind w:left="566" w:hanging="283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uiPriority w:val="99"/>
    <w:qFormat/>
    <w:rsid w:val="00585a05"/>
    <w:pPr>
      <w:ind w:left="849" w:hanging="283"/>
    </w:pPr>
    <w:rPr>
      <w:rFonts w:ascii="Arial" w:hAnsi="Arial" w:cs="Arial"/>
      <w:sz w:val="20"/>
      <w:szCs w:val="20"/>
    </w:rPr>
  </w:style>
  <w:style w:type="paragraph" w:styleId="15" w:customStyle="1">
    <w:name w:val="Знак1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afd"/>
    <w:uiPriority w:val="99"/>
    <w:semiHidden/>
    <w:qFormat/>
    <w:rsid w:val="00585a05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qFormat/>
    <w:rsid w:val="00585a05"/>
    <w:pPr>
      <w:spacing w:lineRule="auto" w:line="480" w:before="0" w:after="120"/>
      <w:ind w:left="283" w:hanging="0"/>
    </w:pPr>
    <w:rPr>
      <w:rFonts w:ascii="Arial" w:hAnsi="Arial" w:cs="Arial"/>
    </w:rPr>
  </w:style>
  <w:style w:type="paragraph" w:styleId="BodyText2">
    <w:name w:val="Body Text 2"/>
    <w:basedOn w:val="Normal"/>
    <w:link w:val="25"/>
    <w:uiPriority w:val="99"/>
    <w:qFormat/>
    <w:rsid w:val="00585a05"/>
    <w:pPr>
      <w:spacing w:lineRule="auto" w:line="480" w:before="0" w:after="120"/>
    </w:pPr>
    <w:rPr>
      <w:rFonts w:ascii="Arial" w:hAnsi="Arial" w:cs="Arial"/>
    </w:rPr>
  </w:style>
  <w:style w:type="paragraph" w:styleId="S4" w:customStyle="1">
    <w:name w:val="S_Маркированный"/>
    <w:basedOn w:val="ListBullet"/>
    <w:link w:val="S1"/>
    <w:autoRedefine/>
    <w:uiPriority w:val="99"/>
    <w:qFormat/>
    <w:rsid w:val="00585a05"/>
    <w:pPr>
      <w:tabs>
        <w:tab w:val="left" w:pos="992" w:leader="none"/>
      </w:tabs>
      <w:spacing w:lineRule="auto" w:line="360"/>
      <w:ind w:left="0" w:firstLine="709"/>
      <w:jc w:val="both"/>
    </w:pPr>
    <w:rPr>
      <w:rFonts w:ascii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qFormat/>
    <w:rsid w:val="00585a05"/>
    <w:pPr>
      <w:ind w:left="1069" w:hanging="360"/>
    </w:pPr>
    <w:rPr>
      <w:rFonts w:ascii="Arial" w:hAnsi="Arial" w:cs="Arial"/>
    </w:rPr>
  </w:style>
  <w:style w:type="paragraph" w:styleId="S5" w:customStyle="1">
    <w:name w:val="S_Обычный"/>
    <w:basedOn w:val="Normal"/>
    <w:link w:val="S2"/>
    <w:uiPriority w:val="99"/>
    <w:qFormat/>
    <w:rsid w:val="00585a05"/>
    <w:pPr>
      <w:spacing w:lineRule="auto" w:line="360"/>
      <w:ind w:firstLine="709"/>
      <w:jc w:val="both"/>
    </w:pPr>
    <w:rPr>
      <w:rFonts w:ascii="Arial" w:hAnsi="Arial"/>
      <w:szCs w:val="20"/>
    </w:rPr>
  </w:style>
  <w:style w:type="paragraph" w:styleId="S6" w:customStyle="1">
    <w:name w:val="S_Таблица"/>
    <w:basedOn w:val="Normal"/>
    <w:link w:val="S4"/>
    <w:autoRedefine/>
    <w:uiPriority w:val="99"/>
    <w:qFormat/>
    <w:rsid w:val="00585a05"/>
    <w:pPr>
      <w:widowControl w:val="false"/>
      <w:tabs>
        <w:tab w:val="left" w:pos="1440" w:leader="none"/>
      </w:tabs>
      <w:jc w:val="right"/>
    </w:pPr>
    <w:rPr>
      <w:rFonts w:ascii="Arial" w:hAnsi="Arial"/>
      <w:color w:val="008000"/>
      <w:szCs w:val="20"/>
    </w:rPr>
  </w:style>
  <w:style w:type="paragraph" w:styleId="S7" w:customStyle="1">
    <w:name w:val="S_Обычный в таблице"/>
    <w:basedOn w:val="Normal"/>
    <w:link w:val="S5"/>
    <w:uiPriority w:val="99"/>
    <w:qFormat/>
    <w:rsid w:val="00585a05"/>
    <w:pPr>
      <w:jc w:val="center"/>
    </w:pPr>
    <w:rPr>
      <w:szCs w:val="20"/>
      <w:lang w:eastAsia="en-US"/>
    </w:rPr>
  </w:style>
  <w:style w:type="paragraph" w:styleId="Style37" w:customStyle="1">
    <w:name w:val="Примечание"/>
    <w:basedOn w:val="Normal"/>
    <w:uiPriority w:val="99"/>
    <w:qFormat/>
    <w:rsid w:val="00585a05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ConsCell" w:customStyle="1">
    <w:name w:val="ConsCell"/>
    <w:uiPriority w:val="99"/>
    <w:qFormat/>
    <w:rsid w:val="00585a05"/>
    <w:pPr>
      <w:widowControl w:val="false"/>
      <w:bidi w:val="0"/>
      <w:ind w:right="19772" w:hanging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ff1"/>
    <w:uiPriority w:val="99"/>
    <w:semiHidden/>
    <w:qFormat/>
    <w:rsid w:val="00585a05"/>
    <w:pPr/>
    <w:rPr>
      <w:rFonts w:ascii="Arial" w:hAnsi="Arial" w:cs="Arial"/>
      <w:sz w:val="20"/>
      <w:szCs w:val="20"/>
    </w:rPr>
  </w:style>
  <w:style w:type="paragraph" w:styleId="Style38" w:customStyle="1">
    <w:name w:val="приложения рнгп"/>
    <w:basedOn w:val="2"/>
    <w:autoRedefine/>
    <w:uiPriority w:val="99"/>
    <w:qFormat/>
    <w:rsid w:val="00585a05"/>
    <w:pPr>
      <w:keepNext w:val="false"/>
      <w:widowControl w:val="false"/>
      <w:tabs>
        <w:tab w:val="left" w:pos="992" w:leader="none"/>
      </w:tabs>
      <w:spacing w:lineRule="auto" w:line="235" w:before="0" w:after="0"/>
      <w:ind w:firstLine="709"/>
      <w:jc w:val="right"/>
    </w:pPr>
    <w:rPr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33"/>
    <w:uiPriority w:val="99"/>
    <w:qFormat/>
    <w:rsid w:val="00585a05"/>
    <w:pPr>
      <w:spacing w:before="0" w:after="120"/>
      <w:ind w:left="283" w:hanging="0"/>
    </w:pPr>
    <w:rPr>
      <w:rFonts w:ascii="Arial" w:hAnsi="Arial" w:cs="Arial"/>
      <w:sz w:val="16"/>
      <w:szCs w:val="16"/>
    </w:rPr>
  </w:style>
  <w:style w:type="paragraph" w:styleId="ListContinue2">
    <w:name w:val="List Continue 2"/>
    <w:basedOn w:val="Normal"/>
    <w:uiPriority w:val="99"/>
    <w:qFormat/>
    <w:rsid w:val="00585a05"/>
    <w:pPr>
      <w:spacing w:before="0" w:after="120"/>
      <w:ind w:left="566" w:hanging="0"/>
    </w:pPr>
    <w:rPr>
      <w:rFonts w:ascii="Arial" w:hAnsi="Arial" w:cs="Arial"/>
    </w:rPr>
  </w:style>
  <w:style w:type="paragraph" w:styleId="ListContinue3">
    <w:name w:val="List Continue 3"/>
    <w:basedOn w:val="Normal"/>
    <w:uiPriority w:val="99"/>
    <w:qFormat/>
    <w:rsid w:val="00585a05"/>
    <w:pPr>
      <w:spacing w:before="0" w:after="120"/>
      <w:ind w:left="849" w:hanging="0"/>
    </w:pPr>
    <w:rPr>
      <w:rFonts w:ascii="Arial" w:hAnsi="Arial" w:cs="Arial"/>
    </w:rPr>
  </w:style>
  <w:style w:type="paragraph" w:styleId="16" w:customStyle="1">
    <w:name w:val="Стиль1"/>
    <w:basedOn w:val="Normal"/>
    <w:uiPriority w:val="99"/>
    <w:qFormat/>
    <w:rsid w:val="00585a05"/>
    <w:pPr>
      <w:jc w:val="center"/>
    </w:pPr>
    <w:rPr>
      <w:rFonts w:ascii="Arial" w:hAnsi="Arial" w:cs="Arial"/>
      <w:sz w:val="20"/>
      <w:szCs w:val="20"/>
    </w:rPr>
  </w:style>
  <w:style w:type="paragraph" w:styleId="Textn" w:customStyle="1">
    <w:name w:val="textn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</w:rPr>
  </w:style>
  <w:style w:type="paragraph" w:styleId="33" w:customStyle="1">
    <w:name w:val="Знак3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42" w:customStyle="1">
    <w:name w:val="Знак4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52" w:customStyle="1">
    <w:name w:val="Знак5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6" w:customStyle="1">
    <w:name w:val="Знак6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7" w:customStyle="1">
    <w:name w:val="Знак7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8" w:customStyle="1">
    <w:name w:val="Знак8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91" w:customStyle="1">
    <w:name w:val="Знак9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10" w:customStyle="1">
    <w:name w:val="Знак10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FORMATTEXT" w:customStyle="1">
    <w:name w:val=".FORMATTEXT"/>
    <w:uiPriority w:val="99"/>
    <w:qFormat/>
    <w:rsid w:val="00585a0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7" w:customStyle="1">
    <w:name w:val="Знак1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121" w:customStyle="1">
    <w:name w:val="Знак12"/>
    <w:basedOn w:val="Normal"/>
    <w:uiPriority w:val="99"/>
    <w:qFormat/>
    <w:rsid w:val="00585a05"/>
    <w:pPr>
      <w:spacing w:lineRule="exact" w:line="240"/>
      <w:jc w:val="both"/>
    </w:pPr>
    <w:rPr>
      <w:lang w:val="en-US"/>
    </w:rPr>
  </w:style>
  <w:style w:type="paragraph" w:styleId="Style39" w:customStyle="1">
    <w:name w:val="Основной шрифт абзаца 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Formattext1" w:customStyle="1">
    <w:name w:val="formattext"/>
    <w:basedOn w:val="Normal"/>
    <w:uiPriority w:val="99"/>
    <w:qFormat/>
    <w:rsid w:val="00585a05"/>
    <w:pPr>
      <w:spacing w:beforeAutospacing="1" w:afterAutospacing="1"/>
    </w:pPr>
    <w:rPr/>
  </w:style>
  <w:style w:type="paragraph" w:styleId="18" w:customStyle="1">
    <w:name w:val="Обычный1"/>
    <w:uiPriority w:val="99"/>
    <w:qFormat/>
    <w:rsid w:val="00585a05"/>
    <w:pPr>
      <w:widowControl w:val="false"/>
      <w:bidi w:val="0"/>
      <w:spacing w:lineRule="auto" w:line="259"/>
      <w:ind w:firstLine="220"/>
      <w:jc w:val="both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11Char" w:customStyle="1">
    <w:name w:val="Знак1 Знак Знак Знак Знак Знак Знак Знак Знак1 Char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ListBullet2">
    <w:name w:val="List Bullet 2"/>
    <w:basedOn w:val="Normal"/>
    <w:uiPriority w:val="99"/>
    <w:qFormat/>
    <w:rsid w:val="00585a05"/>
    <w:pPr>
      <w:tabs>
        <w:tab w:val="left" w:pos="643" w:leader="none"/>
      </w:tabs>
      <w:ind w:left="643" w:hanging="360"/>
    </w:pPr>
    <w:rPr/>
  </w:style>
  <w:style w:type="paragraph" w:styleId="19" w:customStyle="1">
    <w:name w:val="Знак Знак1 Знак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ormattexttopleveltext" w:customStyle="1">
    <w:name w:val="formattext topleveltext"/>
    <w:basedOn w:val="Normal"/>
    <w:uiPriority w:val="99"/>
    <w:qFormat/>
    <w:rsid w:val="00585a05"/>
    <w:pPr>
      <w:spacing w:beforeAutospacing="1" w:afterAutospacing="1"/>
    </w:pPr>
    <w:rPr/>
  </w:style>
  <w:style w:type="paragraph" w:styleId="Style91" w:customStyle="1">
    <w:name w:val="Style9"/>
    <w:basedOn w:val="Normal"/>
    <w:uiPriority w:val="99"/>
    <w:qFormat/>
    <w:rsid w:val="00585a05"/>
    <w:pPr>
      <w:widowControl w:val="false"/>
      <w:spacing w:lineRule="exact" w:line="331"/>
      <w:ind w:firstLine="734"/>
      <w:jc w:val="both"/>
    </w:pPr>
    <w:rPr/>
  </w:style>
  <w:style w:type="paragraph" w:styleId="25" w:customStyle="1">
    <w:name w:val="Знак Знак Знак2 Знак Знак Знак 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221" w:customStyle="1">
    <w:name w:val="Знак Знак Знак2 Знак Знак Знак Знак Знак Знак Знак2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Centerarticlelink" w:customStyle="1">
    <w:name w:val="centerarticlelink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  <w:color w:val="000000"/>
    </w:rPr>
  </w:style>
  <w:style w:type="paragraph" w:styleId="Txt" w:customStyle="1">
    <w:name w:val="txt"/>
    <w:basedOn w:val="Normal"/>
    <w:uiPriority w:val="99"/>
    <w:qFormat/>
    <w:rsid w:val="00585a05"/>
    <w:pPr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styleId="Textb" w:customStyle="1">
    <w:name w:val="textb"/>
    <w:basedOn w:val="Normal"/>
    <w:uiPriority w:val="99"/>
    <w:qFormat/>
    <w:rsid w:val="00585a05"/>
    <w:pPr/>
    <w:rPr>
      <w:rFonts w:ascii="Arial" w:hAnsi="Arial" w:cs="Arial"/>
      <w:b/>
      <w:bCs/>
      <w:sz w:val="22"/>
      <w:szCs w:val="22"/>
    </w:rPr>
  </w:style>
  <w:style w:type="paragraph" w:styleId="Western" w:customStyle="1">
    <w:name w:val="western"/>
    <w:basedOn w:val="Normal"/>
    <w:uiPriority w:val="99"/>
    <w:qFormat/>
    <w:rsid w:val="00585a05"/>
    <w:pPr>
      <w:spacing w:beforeAutospacing="1" w:afterAutospacing="1"/>
    </w:pPr>
    <w:rPr/>
  </w:style>
  <w:style w:type="paragraph" w:styleId="ConsTitle" w:customStyle="1">
    <w:name w:val="ConsTitle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FR1" w:customStyle="1">
    <w:name w:val="FR1"/>
    <w:uiPriority w:val="99"/>
    <w:qFormat/>
    <w:rsid w:val="00585a0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paragraph" w:styleId="53" w:customStyle="1">
    <w:name w:val="çàãîëîâîê 5"/>
    <w:basedOn w:val="Normal"/>
    <w:next w:val="Normal"/>
    <w:uiPriority w:val="99"/>
    <w:qFormat/>
    <w:rsid w:val="00585a05"/>
    <w:pPr>
      <w:keepNext w:val="true"/>
      <w:jc w:val="center"/>
    </w:pPr>
    <w:rPr/>
  </w:style>
  <w:style w:type="paragraph" w:styleId="Normal100221" w:customStyle="1">
    <w:name w:val="Стиль Normal + 10 пт полужирный По центру Слева:  -02 см Справ...2"/>
    <w:basedOn w:val="Normal"/>
    <w:link w:val="Normal10-0220"/>
    <w:uiPriority w:val="99"/>
    <w:qFormat/>
    <w:rsid w:val="00585a05"/>
    <w:pPr>
      <w:snapToGrid w:val="false"/>
      <w:ind w:left="-113" w:right="-113" w:hanging="0"/>
      <w:jc w:val="center"/>
    </w:pPr>
    <w:rPr>
      <w:b/>
      <w:sz w:val="20"/>
      <w:szCs w:val="20"/>
    </w:rPr>
  </w:style>
  <w:style w:type="paragraph" w:styleId="111" w:customStyle="1">
    <w:name w:val="Знак11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Style40" w:customStyle="1">
    <w:name w:val="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110" w:customStyle="1">
    <w:name w:val="Знак1 Знак Знак Знак Знак Знак Знак Знак Знак Знак Знак Знак Знак"/>
    <w:basedOn w:val="Normal"/>
    <w:uiPriority w:val="99"/>
    <w:qFormat/>
    <w:rsid w:val="00585a0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112" w:customStyle="1">
    <w:name w:val="Знак Знак1 Знак1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" w:customStyle="1">
    <w:name w:val="Знак Знак Знак2 Знак Знак Знак Знак Знак Знак Знак1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a05"/>
    <w:pPr>
      <w:ind w:left="720" w:firstLine="709"/>
      <w:jc w:val="both"/>
    </w:pPr>
    <w:rPr>
      <w:sz w:val="22"/>
      <w:szCs w:val="22"/>
    </w:rPr>
  </w:style>
  <w:style w:type="paragraph" w:styleId="DocumentMap">
    <w:name w:val="Document Map"/>
    <w:basedOn w:val="Normal"/>
    <w:link w:val="aff8"/>
    <w:uiPriority w:val="99"/>
    <w:semiHidden/>
    <w:qFormat/>
    <w:rsid w:val="00585a05"/>
    <w:pPr>
      <w:widowControl w:val="false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paragraph" w:styleId="231" w:customStyle="1">
    <w:name w:val="Знак Знак Знак2 Знак Знак Знак Знак Знак Знак Знак3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affb"/>
    <w:uiPriority w:val="99"/>
    <w:semiHidden/>
    <w:qFormat/>
    <w:rsid w:val="00585a05"/>
    <w:pPr>
      <w:ind w:firstLine="1418"/>
      <w:jc w:val="both"/>
    </w:pPr>
    <w:rPr>
      <w:rFonts w:ascii="Times New Roman" w:hAnsi="Times New Roman" w:cs="Times New Roman"/>
      <w:b/>
      <w:bCs/>
    </w:rPr>
  </w:style>
  <w:style w:type="paragraph" w:styleId="Caption">
    <w:name w:val="caption"/>
    <w:basedOn w:val="Normal"/>
    <w:next w:val="Normal"/>
    <w:link w:val="29"/>
    <w:uiPriority w:val="99"/>
    <w:qFormat/>
    <w:rsid w:val="00936aa1"/>
    <w:pPr>
      <w:spacing w:before="120" w:after="120"/>
      <w:jc w:val="center"/>
    </w:pPr>
    <w:rPr>
      <w:b/>
      <w:szCs w:val="20"/>
    </w:rPr>
  </w:style>
  <w:style w:type="paragraph" w:styleId="113">
    <w:name w:val="TOC 1"/>
    <w:basedOn w:val="Normal"/>
    <w:next w:val="Normal"/>
    <w:autoRedefine/>
    <w:uiPriority w:val="99"/>
    <w:rsid w:val="004777b7"/>
    <w:pPr>
      <w:tabs>
        <w:tab w:val="right" w:pos="9345" w:leader="dot"/>
      </w:tabs>
      <w:ind w:left="34" w:hanging="0"/>
      <w:jc w:val="right"/>
    </w:pPr>
    <w:rPr>
      <w:sz w:val="28"/>
      <w:szCs w:val="28"/>
    </w:rPr>
  </w:style>
  <w:style w:type="paragraph" w:styleId="26">
    <w:name w:val="TOC 2"/>
    <w:basedOn w:val="Normal"/>
    <w:next w:val="Normal"/>
    <w:autoRedefine/>
    <w:uiPriority w:val="99"/>
    <w:rsid w:val="00741bc7"/>
    <w:pPr>
      <w:tabs>
        <w:tab w:val="right" w:pos="9345" w:leader="dot"/>
      </w:tabs>
      <w:ind w:left="-567" w:hanging="0"/>
      <w:jc w:val="both"/>
    </w:pPr>
    <w:rPr/>
  </w:style>
  <w:style w:type="paragraph" w:styleId="34">
    <w:name w:val="TOC 3"/>
    <w:basedOn w:val="Normal"/>
    <w:next w:val="Normal"/>
    <w:autoRedefine/>
    <w:uiPriority w:val="99"/>
    <w:rsid w:val="00741bc7"/>
    <w:pPr>
      <w:tabs>
        <w:tab w:val="right" w:pos="9345" w:leader="dot"/>
      </w:tabs>
      <w:ind w:left="-567" w:hanging="0"/>
    </w:pPr>
    <w:rPr/>
  </w:style>
  <w:style w:type="paragraph" w:styleId="Default" w:customStyle="1">
    <w:name w:val="Default"/>
    <w:uiPriority w:val="99"/>
    <w:qFormat/>
    <w:rsid w:val="001a2b7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1" w:customStyle="1">
    <w:name w:val="Основной стиль записки"/>
    <w:basedOn w:val="Normal"/>
    <w:uiPriority w:val="99"/>
    <w:qFormat/>
    <w:rsid w:val="002d2253"/>
    <w:pPr>
      <w:ind w:firstLine="709"/>
      <w:jc w:val="both"/>
    </w:pPr>
    <w:rPr/>
  </w:style>
  <w:style w:type="paragraph" w:styleId="0" w:customStyle="1">
    <w:name w:val="0"/>
    <w:basedOn w:val="ConsPlusNormal1"/>
    <w:uiPriority w:val="99"/>
    <w:qFormat/>
    <w:rsid w:val="00651804"/>
    <w:pPr>
      <w:widowControl/>
      <w:suppressAutoHyphens w:val="true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000" w:customStyle="1">
    <w:name w:val="000"/>
    <w:basedOn w:val="0"/>
    <w:uiPriority w:val="99"/>
    <w:qFormat/>
    <w:rsid w:val="00651804"/>
    <w:pPr>
      <w:tabs>
        <w:tab w:val="left" w:pos="0" w:leader="none"/>
        <w:tab w:val="left" w:pos="1134" w:leader="none"/>
        <w:tab w:val="left" w:pos="2155" w:leader="none"/>
      </w:tabs>
      <w:ind w:left="2422" w:hanging="267"/>
    </w:pPr>
    <w:rPr/>
  </w:style>
  <w:style w:type="paragraph" w:styleId="02" w:customStyle="1">
    <w:name w:val="0 прим"/>
    <w:basedOn w:val="0"/>
    <w:uiPriority w:val="99"/>
    <w:qFormat/>
    <w:rsid w:val="00651804"/>
    <w:pPr/>
    <w:rPr>
      <w:i/>
    </w:rPr>
  </w:style>
  <w:style w:type="paragraph" w:styleId="03" w:customStyle="1">
    <w:name w:val="0 табл"/>
    <w:basedOn w:val="ConsPlusNormal1"/>
    <w:uiPriority w:val="99"/>
    <w:qFormat/>
    <w:rsid w:val="00651804"/>
    <w:pPr>
      <w:widowControl/>
      <w:suppressAutoHyphens w:val="true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S51" w:customStyle="1">
    <w:name w:val="S_Заголовок 5"/>
    <w:basedOn w:val="Normal"/>
    <w:autoRedefine/>
    <w:uiPriority w:val="99"/>
    <w:qFormat/>
    <w:rsid w:val="00d05dfa"/>
    <w:pPr>
      <w:ind w:firstLine="709"/>
      <w:jc w:val="center"/>
    </w:pPr>
    <w:rPr>
      <w:b/>
      <w:sz w:val="32"/>
      <w:szCs w:val="32"/>
    </w:rPr>
  </w:style>
  <w:style w:type="paragraph" w:styleId="114" w:customStyle="1">
    <w:name w:val="Маркированный список1"/>
    <w:basedOn w:val="Normal"/>
    <w:uiPriority w:val="99"/>
    <w:qFormat/>
    <w:rsid w:val="00d05dfa"/>
    <w:pPr>
      <w:tabs>
        <w:tab w:val="left" w:pos="840" w:leader="none"/>
        <w:tab w:val="left" w:pos="900" w:leader="none"/>
        <w:tab w:val="left" w:pos="2149" w:leader="none"/>
      </w:tabs>
      <w:suppressAutoHyphens w:val="true"/>
      <w:spacing w:lineRule="auto" w:line="360"/>
      <w:ind w:left="2149" w:hanging="360"/>
      <w:jc w:val="both"/>
    </w:pPr>
    <w:rPr>
      <w:lang w:eastAsia="ar-SA"/>
    </w:rPr>
  </w:style>
  <w:style w:type="paragraph" w:styleId="115" w:customStyle="1">
    <w:name w:val="Знак Знак1 Знак Знак"/>
    <w:basedOn w:val="Normal"/>
    <w:uiPriority w:val="99"/>
    <w:qFormat/>
    <w:rsid w:val="0014551d"/>
    <w:pPr/>
    <w:rPr>
      <w:rFonts w:ascii="Verdana" w:hAnsi="Verdana" w:cs="Verdana"/>
      <w:sz w:val="20"/>
      <w:szCs w:val="20"/>
      <w:lang w:val="en-US" w:eastAsia="en-US"/>
    </w:rPr>
  </w:style>
  <w:style w:type="paragraph" w:styleId="011" w:customStyle="1">
    <w:name w:val="01 обычный текст"/>
    <w:link w:val="011"/>
    <w:uiPriority w:val="99"/>
    <w:qFormat/>
    <w:rsid w:val="00272a45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27" w:customStyle="1">
    <w:name w:val="Основной текст2"/>
    <w:basedOn w:val="Normal"/>
    <w:link w:val="afff"/>
    <w:qFormat/>
    <w:rsid w:val="0051238a"/>
    <w:pPr>
      <w:widowControl w:val="false"/>
      <w:shd w:val="clear" w:color="auto" w:fill="FFFFFF"/>
    </w:pPr>
    <w:rPr>
      <w:sz w:val="20"/>
      <w:szCs w:val="20"/>
    </w:rPr>
  </w:style>
  <w:style w:type="paragraph" w:styleId="Style42">
    <w:name w:val="Содержимое врезки"/>
    <w:basedOn w:val="Normal"/>
    <w:qFormat/>
    <w:pPr/>
    <w:rPr/>
  </w:style>
  <w:style w:type="paragraph" w:styleId="Style43">
    <w:name w:val="Содержимое таблицы"/>
    <w:basedOn w:val="Normal"/>
    <w:qFormat/>
    <w:pPr>
      <w:suppressLineNumbers/>
    </w:pPr>
    <w:rPr/>
  </w:style>
  <w:style w:type="paragraph" w:styleId="Style44">
    <w:name w:val="Заголовок таблицы"/>
    <w:basedOn w:val="Style43"/>
    <w:qFormat/>
    <w:pPr>
      <w:suppressLineNumbers/>
      <w:jc w:val="center"/>
    </w:pPr>
    <w:rPr>
      <w:b/>
      <w:bCs/>
    </w:rPr>
  </w:style>
  <w:style w:type="paragraph" w:styleId="Style45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ru-RU" w:bidi="ar-SA"/>
    </w:rPr>
  </w:style>
  <w:style w:type="paragraph" w:styleId="DefinitionTerm">
    <w:name w:val="Definition Term"/>
    <w:basedOn w:val="Style45"/>
    <w:qFormat/>
    <w:pPr/>
    <w:rPr/>
  </w:style>
  <w:style w:type="paragraph" w:styleId="DefinitionList">
    <w:name w:val="Definition List"/>
    <w:basedOn w:val="Style45"/>
    <w:qFormat/>
    <w:pPr>
      <w:ind w:left="360" w:hanging="0"/>
    </w:pPr>
    <w:rPr/>
  </w:style>
  <w:style w:type="paragraph" w:styleId="H1">
    <w:name w:val="H1"/>
    <w:basedOn w:val="Style45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45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45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45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45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45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45"/>
    <w:qFormat/>
    <w:pPr/>
    <w:rPr>
      <w:i/>
    </w:rPr>
  </w:style>
  <w:style w:type="paragraph" w:styleId="Blockquote">
    <w:name w:val="Blockquote"/>
    <w:basedOn w:val="Style45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45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Style46">
    <w:name w:val="Другое"/>
    <w:qFormat/>
    <w:pPr>
      <w:widowControl w:val="false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bidi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99"/>
    <w:rsid w:val="00585a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"/>
    <w:uiPriority w:val="99"/>
    <w:rsid w:val="00585a0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8c72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8c72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a01f2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0631f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406d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99"/>
    <w:rsid w:val="009c366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ef61d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CF48AF3F602836EF22537329EDDD6E149D67D5322F2E687B85A5FBCTEkFH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pogar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LibreOffice/6.1.0.3$Windows_x86 LibreOffice_project/efb621ed25068d70781dc026f7e9c5187a4decd1</Application>
  <Pages>39</Pages>
  <Words>10342</Words>
  <Characters>75346</Characters>
  <CharactersWithSpaces>85076</CharactersWithSpaces>
  <Paragraphs>1316</Paragraphs>
  <Company>ИП Хохлов Е.В.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2018-10-17T14:48:00Z</dcterms:created>
  <dc:creator>Евгений Владимирович Хохлов</dc:creator>
  <dc:description/>
  <dc:language>ru-RU</dc:language>
  <cp:lastModifiedBy/>
  <cp:lastPrinted>2021-01-22T10:22:17Z</cp:lastPrinted>
  <dcterms:modified xsi:type="dcterms:W3CDTF">2021-01-22T10:22:22Z</dcterms:modified>
  <cp:revision>16</cp:revision>
  <dc:subject/>
  <dc:title>МНГП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ИП Хохлов Е.В.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