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left"/>
        <w:rPr/>
      </w:pPr>
      <w:r>
        <w:rPr>
          <w:rFonts w:eastAsia="Mangal"/>
          <w:color w:val="000000"/>
          <w:kern w:val="2"/>
          <w:sz w:val="28"/>
          <w:lang w:val="ru-RU" w:eastAsia="ru-RU"/>
        </w:rPr>
        <w:t xml:space="preserve">                                  </w:t>
      </w:r>
      <w:r>
        <w:rPr>
          <w:rFonts w:eastAsia="Mangal"/>
          <w:b/>
          <w:color w:val="000000"/>
          <w:kern w:val="2"/>
          <w:sz w:val="28"/>
          <w:lang w:val="ru-RU" w:eastAsia="hi-IN"/>
        </w:rPr>
        <w:t>Обобщение практики осуществления в</w:t>
      </w:r>
    </w:p>
    <w:p>
      <w:pPr>
        <w:pStyle w:val="Normal"/>
        <w:widowControl w:val="false"/>
        <w:jc w:val="left"/>
        <w:rPr/>
      </w:pPr>
      <w:r>
        <w:rPr>
          <w:rFonts w:eastAsia="Mangal"/>
          <w:b/>
          <w:color w:val="000000"/>
          <w:kern w:val="2"/>
          <w:sz w:val="28"/>
          <w:lang w:val="ru-RU" w:eastAsia="ru-RU"/>
        </w:rPr>
        <w:t xml:space="preserve">            </w:t>
      </w:r>
      <w:r>
        <w:rPr>
          <w:rFonts w:eastAsia="Mangal"/>
          <w:b/>
          <w:color w:val="000000"/>
          <w:kern w:val="2"/>
          <w:sz w:val="28"/>
          <w:lang w:val="ru-RU" w:eastAsia="hi-IN"/>
        </w:rPr>
        <w:t>соответствующей сфере деятельности муниципального контроля</w:t>
      </w:r>
    </w:p>
    <w:p>
      <w:pPr>
        <w:pStyle w:val="Normal"/>
        <w:widowControl w:val="false"/>
        <w:jc w:val="left"/>
        <w:rPr>
          <w:rFonts w:ascii="Liberation Serif" w:hAnsi="Liberation Serif" w:eastAsia="Mangal"/>
          <w:b/>
          <w:b/>
          <w:color w:val="000000"/>
          <w:kern w:val="2"/>
          <w:sz w:val="28"/>
          <w:lang w:val="ru-RU" w:eastAsia="hi-IN"/>
        </w:rPr>
      </w:pPr>
      <w:r>
        <w:rPr>
          <w:rFonts w:eastAsia="Mangal"/>
          <w:b/>
          <w:color w:val="000000"/>
          <w:kern w:val="2"/>
          <w:sz w:val="28"/>
          <w:lang w:val="ru-RU" w:eastAsia="hi-IN"/>
        </w:rPr>
      </w:r>
    </w:p>
    <w:p>
      <w:pPr>
        <w:pStyle w:val="Normal"/>
        <w:widowControl w:val="false"/>
        <w:jc w:val="left"/>
        <w:rPr>
          <w:rFonts w:ascii="Liberation Serif" w:hAnsi="Liberation Serif" w:eastAsia="Mangal"/>
          <w:b/>
          <w:b/>
          <w:color w:val="000000"/>
          <w:kern w:val="2"/>
          <w:sz w:val="28"/>
          <w:lang w:val="ru-RU" w:eastAsia="hi-IN"/>
        </w:rPr>
      </w:pPr>
      <w:r>
        <w:rPr>
          <w:rFonts w:eastAsia="Mangal"/>
          <w:b/>
          <w:color w:val="000000"/>
          <w:kern w:val="2"/>
          <w:sz w:val="28"/>
          <w:lang w:val="ru-RU" w:eastAsia="hi-IN"/>
        </w:rPr>
      </w:r>
    </w:p>
    <w:p>
      <w:pPr>
        <w:pStyle w:val="Normal"/>
        <w:widowControl w:val="false"/>
        <w:jc w:val="left"/>
        <w:rPr>
          <w:rFonts w:ascii="Liberation Serif" w:hAnsi="Liberation Serif" w:eastAsia="Mangal"/>
          <w:color w:val="000000"/>
          <w:kern w:val="2"/>
          <w:sz w:val="28"/>
          <w:lang w:val="ru-RU" w:eastAsia="hi-IN"/>
        </w:rPr>
      </w:pPr>
      <w:r>
        <w:rPr>
          <w:rFonts w:eastAsia="Mangal"/>
          <w:color w:val="000000"/>
          <w:kern w:val="2"/>
          <w:sz w:val="28"/>
          <w:lang w:val="ru-RU" w:eastAsia="hi-IN"/>
        </w:rPr>
      </w:r>
    </w:p>
    <w:p>
      <w:pPr>
        <w:pStyle w:val="Normal"/>
        <w:widowControl w:val="false"/>
        <w:jc w:val="left"/>
        <w:rPr/>
      </w:pPr>
      <w:r>
        <w:rPr>
          <w:rFonts w:eastAsia="Mangal"/>
          <w:color w:val="000000"/>
          <w:kern w:val="2"/>
          <w:sz w:val="28"/>
          <w:lang w:val="ru-RU" w:eastAsia="ru-RU"/>
        </w:rPr>
        <w:t xml:space="preserve">          </w:t>
      </w:r>
      <w:r>
        <w:rPr>
          <w:rFonts w:eastAsia="Mangal"/>
          <w:color w:val="000000"/>
          <w:kern w:val="2"/>
          <w:sz w:val="28"/>
          <w:lang w:val="ru-RU" w:eastAsia="hi-IN"/>
        </w:rPr>
        <w:t>Обобщение практики осуществления муниципального земельного контроля на территории Погарского городского поселения за 201</w:t>
      </w:r>
      <w:r>
        <w:rPr>
          <w:rFonts w:eastAsia="Mangal"/>
          <w:color w:val="000000"/>
          <w:kern w:val="2"/>
          <w:sz w:val="28"/>
          <w:lang w:val="ru-RU" w:eastAsia="hi-IN"/>
        </w:rPr>
        <w:t>8</w:t>
      </w:r>
      <w:r>
        <w:rPr>
          <w:rFonts w:eastAsia="Mangal"/>
          <w:color w:val="000000"/>
          <w:kern w:val="2"/>
          <w:sz w:val="28"/>
          <w:lang w:val="ru-RU" w:eastAsia="hi-IN"/>
        </w:rPr>
        <w:t xml:space="preserve"> год.</w:t>
      </w:r>
    </w:p>
    <w:p>
      <w:pPr>
        <w:pStyle w:val="Normal"/>
        <w:widowControl w:val="false"/>
        <w:jc w:val="left"/>
        <w:rPr>
          <w:rFonts w:ascii="Liberation Serif" w:hAnsi="Liberation Serif" w:eastAsia="Mangal"/>
          <w:color w:val="000000"/>
          <w:kern w:val="2"/>
          <w:sz w:val="28"/>
          <w:lang w:val="ru-RU" w:eastAsia="hi-IN"/>
        </w:rPr>
      </w:pPr>
      <w:r>
        <w:rPr>
          <w:rFonts w:eastAsia="Mangal"/>
          <w:color w:val="000000"/>
          <w:kern w:val="2"/>
          <w:sz w:val="28"/>
          <w:lang w:val="ru-RU" w:eastAsia="hi-IN"/>
        </w:rPr>
      </w:r>
    </w:p>
    <w:p>
      <w:pPr>
        <w:pStyle w:val="Normal"/>
        <w:widowControl w:val="false"/>
        <w:jc w:val="left"/>
        <w:rPr/>
      </w:pPr>
      <w:r>
        <w:rPr>
          <w:rFonts w:eastAsia="Mangal"/>
          <w:color w:val="000000"/>
          <w:kern w:val="2"/>
          <w:sz w:val="28"/>
          <w:lang w:val="ru-RU" w:eastAsia="ru-RU"/>
        </w:rPr>
        <w:t xml:space="preserve">          </w:t>
      </w:r>
      <w:r>
        <w:rPr>
          <w:rFonts w:eastAsia="Mangal"/>
          <w:color w:val="000000"/>
          <w:kern w:val="2"/>
          <w:sz w:val="28"/>
          <w:lang w:val="ru-RU" w:eastAsia="hi-IN"/>
        </w:rPr>
        <w:t>В соотвестствии со ст.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обобщение практики осуществления муниципального земельного контроля на территории Погарского района опубликовывается органом муниципального земельного контроля.</w:t>
      </w:r>
    </w:p>
    <w:p>
      <w:pPr>
        <w:pStyle w:val="Normal"/>
        <w:widowControl w:val="false"/>
        <w:jc w:val="left"/>
        <w:rPr/>
      </w:pPr>
      <w:r>
        <w:rPr>
          <w:rFonts w:eastAsia="Mangal"/>
          <w:color w:val="000000"/>
          <w:kern w:val="2"/>
          <w:sz w:val="28"/>
          <w:lang w:val="ru-RU" w:eastAsia="ru-RU"/>
        </w:rPr>
        <w:t xml:space="preserve">         </w:t>
      </w:r>
      <w:r>
        <w:rPr>
          <w:rFonts w:eastAsia="Mangal"/>
          <w:color w:val="000000"/>
          <w:kern w:val="2"/>
          <w:sz w:val="28"/>
          <w:lang w:val="ru-RU" w:eastAsia="hi-IN"/>
        </w:rPr>
        <w:t>Муниципальный земельный контроль осуществляется администрацией Погарского района Брянской области. От имени администрации Погарского района Брянской области функции по организации и проведению проверок, координации, действий должностных лиц в рамках муниципального земельного контроля осуществляется Комитетом по управлению муниципальным имуществом администрации Погарского района Брянской области (КУМИ).</w:t>
      </w:r>
    </w:p>
    <w:p>
      <w:pPr>
        <w:pStyle w:val="Normal"/>
        <w:widowControl w:val="false"/>
        <w:jc w:val="left"/>
        <w:rPr/>
      </w:pPr>
      <w:r>
        <w:rPr>
          <w:rFonts w:eastAsia="Mangal"/>
          <w:color w:val="000000"/>
          <w:kern w:val="2"/>
          <w:sz w:val="28"/>
          <w:lang w:val="ru-RU" w:eastAsia="ru-RU"/>
        </w:rPr>
        <w:t xml:space="preserve">         </w:t>
      </w:r>
      <w:r>
        <w:rPr>
          <w:rFonts w:eastAsia="Mangal"/>
          <w:color w:val="000000"/>
          <w:kern w:val="2"/>
          <w:sz w:val="28"/>
          <w:lang w:val="ru-RU" w:eastAsia="hi-IN"/>
        </w:rPr>
        <w:t>Наиболее часто встречающимися нарушениями земельного законодательства, с которыми сталкиваются специалисты КУМИ при осуществлении муниципального земельного контроля, являются:</w:t>
      </w:r>
    </w:p>
    <w:p>
      <w:pPr>
        <w:pStyle w:val="Normal"/>
        <w:widowControl w:val="false"/>
        <w:jc w:val="left"/>
        <w:rPr/>
      </w:pPr>
      <w:r>
        <w:rPr>
          <w:rFonts w:eastAsia="Mangal"/>
          <w:color w:val="000000"/>
          <w:kern w:val="2"/>
          <w:sz w:val="28"/>
          <w:lang w:val="ru-RU" w:eastAsia="ru-RU"/>
        </w:rPr>
        <w:t xml:space="preserve">      </w:t>
      </w:r>
      <w:r>
        <w:rPr>
          <w:rFonts w:eastAsia="Mangal"/>
          <w:b/>
          <w:color w:val="000000"/>
          <w:kern w:val="2"/>
          <w:sz w:val="28"/>
          <w:lang w:val="ru-RU" w:eastAsia="hi-IN"/>
        </w:rPr>
        <w:t>1)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>
      <w:pPr>
        <w:pStyle w:val="Normal"/>
        <w:widowControl w:val="false"/>
        <w:jc w:val="left"/>
        <w:rPr/>
      </w:pPr>
      <w:r>
        <w:rPr>
          <w:rFonts w:eastAsia="Mangal"/>
          <w:color w:val="000000"/>
          <w:kern w:val="2"/>
          <w:sz w:val="28"/>
          <w:lang w:val="ru-RU" w:eastAsia="ru-RU"/>
        </w:rPr>
        <w:t xml:space="preserve">           </w:t>
      </w:r>
      <w:r>
        <w:rPr>
          <w:rFonts w:eastAsia="Mangal"/>
          <w:color w:val="000000"/>
          <w:kern w:val="2"/>
          <w:sz w:val="28"/>
          <w:lang w:val="ru-RU" w:eastAsia="hi-IN"/>
        </w:rPr>
        <w:t>Для недопущения вышеуказанного нарушения КУМИ рекомендует своевременно оформлять правоустанавливающие документы на земельные участки, а также самостоятельно произвести соотнесение границ своего земельного участка с фактически оформленными границами. С информацией об оформленных границах земельных участков можно ознакомиться на публичной кадастровой карте в сети «Интернет» (</w:t>
      </w:r>
      <w:r>
        <w:rPr>
          <w:rFonts w:eastAsia="Mangal"/>
          <w:b/>
          <w:color w:val="000000"/>
          <w:kern w:val="2"/>
          <w:sz w:val="28"/>
          <w:u w:val="single" w:color="000000"/>
          <w:lang w:val="ru-RU" w:eastAsia="hi-IN"/>
        </w:rPr>
        <w:t xml:space="preserve">адрес сайта: </w:t>
      </w:r>
      <w:hyperlink r:id="rId2">
        <w:r>
          <w:rPr>
            <w:rStyle w:val="Style14"/>
            <w:rFonts w:eastAsia="Mangal"/>
            <w:b/>
            <w:color w:val="000000"/>
            <w:kern w:val="2"/>
            <w:sz w:val="28"/>
            <w:u w:val="single" w:color="000000"/>
            <w:lang w:val="en-US" w:eastAsia="zxx"/>
          </w:rPr>
          <w:t>http://pkk5.rosreestr.ru</w:t>
        </w:r>
      </w:hyperlink>
      <w:r>
        <w:rPr>
          <w:rFonts w:eastAsia="Mangal"/>
          <w:b/>
          <w:color w:val="000000"/>
          <w:kern w:val="2"/>
          <w:sz w:val="28"/>
          <w:u w:val="single" w:color="000000"/>
          <w:lang w:val="en-US" w:eastAsia="zxx"/>
        </w:rPr>
        <w:t>)</w:t>
      </w:r>
    </w:p>
    <w:p>
      <w:pPr>
        <w:pStyle w:val="Normal"/>
        <w:widowControl w:val="false"/>
        <w:jc w:val="left"/>
        <w:rPr>
          <w:b/>
          <w:b/>
          <w:bCs/>
          <w:u w:val="none"/>
        </w:rPr>
      </w:pPr>
      <w:r>
        <w:rPr>
          <w:rFonts w:eastAsia="Mangal"/>
          <w:b/>
          <w:bCs/>
          <w:color w:val="000000"/>
          <w:kern w:val="2"/>
          <w:sz w:val="28"/>
          <w:u w:val="none"/>
          <w:lang w:val="en-US" w:eastAsia="zxx"/>
        </w:rPr>
        <w:t xml:space="preserve">      </w:t>
      </w:r>
      <w:r>
        <w:rPr>
          <w:rFonts w:eastAsia="Mangal"/>
          <w:b/>
          <w:bCs/>
          <w:color w:val="000000"/>
          <w:kern w:val="2"/>
          <w:sz w:val="28"/>
          <w:u w:val="none"/>
          <w:lang w:val="en-US" w:eastAsia="zxx"/>
        </w:rPr>
        <w:t xml:space="preserve">2) </w:t>
      </w:r>
      <w:r>
        <w:rPr>
          <w:rFonts w:eastAsia="Mangal"/>
          <w:b/>
          <w:bCs/>
          <w:color w:val="000000"/>
          <w:kern w:val="2"/>
          <w:sz w:val="28"/>
          <w:u w:val="none"/>
          <w:lang w:val="ru-RU" w:eastAsia="zxx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>
      <w:pPr>
        <w:pStyle w:val="Normal"/>
        <w:widowControl w:val="false"/>
        <w:jc w:val="left"/>
        <w:rPr>
          <w:b/>
          <w:b/>
          <w:bCs/>
          <w:u w:val="none"/>
        </w:rPr>
      </w:pPr>
      <w:r>
        <w:rPr>
          <w:rFonts w:eastAsia="Mangal"/>
          <w:b/>
          <w:bCs/>
          <w:color w:val="000000"/>
          <w:kern w:val="2"/>
          <w:sz w:val="28"/>
          <w:u w:val="none"/>
          <w:lang w:val="ru-RU" w:eastAsia="zxx"/>
        </w:rPr>
        <w:t xml:space="preserve">           </w:t>
      </w:r>
      <w:r>
        <w:rPr>
          <w:rFonts w:eastAsia="Mangal"/>
          <w:b w:val="false"/>
          <w:bCs w:val="false"/>
          <w:color w:val="000000"/>
          <w:kern w:val="2"/>
          <w:sz w:val="28"/>
          <w:u w:val="none"/>
          <w:lang w:val="ru-RU" w:eastAsia="zxx"/>
        </w:rPr>
        <w:t xml:space="preserve">Для недопущения </w:t>
      </w:r>
      <w:r>
        <w:rPr>
          <w:rFonts w:eastAsia="Mangal"/>
          <w:b w:val="false"/>
          <w:bCs w:val="false"/>
          <w:color w:val="000000"/>
          <w:kern w:val="2"/>
          <w:sz w:val="28"/>
          <w:u w:val="none"/>
          <w:lang w:val="ru-RU" w:eastAsia="zxx"/>
        </w:rPr>
        <w:t>вышеуказанного нарушения КУМИ рекомендует индивидуальным предпринимателям и юридическим лицам 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 данную информацию можно получить заказав выписку из ЕГРН на земельный участок в МБУ «Многофункциональный центр предоставления государственных и муниципальных услуг в Погарском районе».</w:t>
      </w:r>
    </w:p>
    <w:p>
      <w:pPr>
        <w:pStyle w:val="Normal"/>
        <w:widowControl w:val="false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widowControl w:val="false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widowControl w:val="false"/>
        <w:jc w:val="left"/>
        <w:rPr>
          <w:b/>
          <w:b/>
          <w:bCs/>
          <w:u w:val="none"/>
        </w:rPr>
      </w:pPr>
      <w:r>
        <w:rPr>
          <w:rFonts w:eastAsia="Mangal"/>
          <w:b w:val="false"/>
          <w:bCs w:val="false"/>
          <w:color w:val="000000"/>
          <w:kern w:val="2"/>
          <w:sz w:val="28"/>
          <w:u w:val="none"/>
          <w:lang w:val="ru-RU" w:eastAsia="zxx"/>
        </w:rPr>
        <w:t xml:space="preserve">                                    </w:t>
      </w:r>
      <w:r>
        <w:rPr>
          <w:rFonts w:eastAsia="Mangal"/>
          <w:b/>
          <w:bCs/>
          <w:color w:val="000000"/>
          <w:kern w:val="2"/>
          <w:sz w:val="28"/>
          <w:u w:val="none"/>
          <w:lang w:val="ru-RU" w:eastAsia="zxx"/>
        </w:rPr>
        <w:t xml:space="preserve"> </w:t>
      </w:r>
      <w:r>
        <w:rPr>
          <w:rFonts w:eastAsia="Mangal"/>
          <w:b/>
          <w:bCs/>
          <w:color w:val="000000"/>
          <w:kern w:val="2"/>
          <w:sz w:val="28"/>
          <w:u w:val="none"/>
          <w:lang w:val="ru-RU" w:eastAsia="zxx"/>
        </w:rPr>
        <w:t>Подведение итогов осуществления</w:t>
      </w:r>
    </w:p>
    <w:p>
      <w:pPr>
        <w:pStyle w:val="Normal"/>
        <w:widowControl w:val="false"/>
        <w:jc w:val="left"/>
        <w:rPr>
          <w:rFonts w:ascii="Liberation Serif" w:hAnsi="Liberation Serif" w:eastAsia="Mangal"/>
          <w:b/>
          <w:b/>
          <w:bCs/>
          <w:color w:val="000000"/>
          <w:kern w:val="2"/>
          <w:sz w:val="28"/>
          <w:u w:val="none"/>
          <w:lang w:val="ru-RU" w:eastAsia="zxx"/>
        </w:rPr>
      </w:pPr>
      <w:r>
        <w:rPr>
          <w:rFonts w:eastAsia="Mangal"/>
          <w:b/>
          <w:bCs/>
          <w:color w:val="000000"/>
          <w:kern w:val="2"/>
          <w:sz w:val="28"/>
          <w:u w:val="none"/>
          <w:lang w:val="ru-RU" w:eastAsia="zxx"/>
        </w:rPr>
        <w:t xml:space="preserve">                            </w:t>
      </w:r>
      <w:r>
        <w:rPr>
          <w:rFonts w:eastAsia="Mangal"/>
          <w:b/>
          <w:bCs/>
          <w:color w:val="000000"/>
          <w:kern w:val="2"/>
          <w:sz w:val="28"/>
          <w:u w:val="none"/>
          <w:lang w:val="ru-RU" w:eastAsia="zxx"/>
        </w:rPr>
        <w:t>муниципального земельного контроля за 201</w:t>
      </w:r>
      <w:r>
        <w:rPr>
          <w:rFonts w:eastAsia="Mangal"/>
          <w:b/>
          <w:bCs/>
          <w:color w:val="000000"/>
          <w:kern w:val="2"/>
          <w:sz w:val="28"/>
          <w:u w:val="none"/>
          <w:lang w:val="ru-RU" w:eastAsia="zxx"/>
        </w:rPr>
        <w:t>8</w:t>
      </w:r>
      <w:r>
        <w:rPr>
          <w:rFonts w:eastAsia="Mangal"/>
          <w:b/>
          <w:bCs/>
          <w:color w:val="000000"/>
          <w:kern w:val="2"/>
          <w:sz w:val="28"/>
          <w:u w:val="none"/>
          <w:lang w:val="ru-RU" w:eastAsia="zxx"/>
        </w:rPr>
        <w:t>г.</w:t>
      </w:r>
    </w:p>
    <w:p>
      <w:pPr>
        <w:pStyle w:val="Normal"/>
        <w:widowControl w:val="false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185"/>
        <w:gridCol w:w="6135"/>
        <w:gridCol w:w="2325"/>
      </w:tblGrid>
      <w:tr>
        <w:trPr/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6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 xml:space="preserve">                               </w:t>
            </w:r>
            <w:r>
              <w:rPr/>
              <w:t>Показатели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 xml:space="preserve">         </w:t>
            </w:r>
            <w:r>
              <w:rPr/>
              <w:t>Количество</w:t>
            </w:r>
          </w:p>
        </w:tc>
      </w:tr>
      <w:tr>
        <w:trPr/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 xml:space="preserve">       </w:t>
            </w:r>
            <w:r>
              <w:rPr/>
              <w:t>1.</w:t>
            </w:r>
          </w:p>
        </w:tc>
        <w:tc>
          <w:tcPr>
            <w:tcW w:w="6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>Количество плановых проверок, предусмотренных годовым планом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 xml:space="preserve">                 </w:t>
            </w:r>
            <w:r>
              <w:rPr/>
              <w:t>1</w:t>
            </w:r>
          </w:p>
        </w:tc>
      </w:tr>
      <w:tr>
        <w:trPr/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 xml:space="preserve">       </w:t>
            </w:r>
            <w:r>
              <w:rPr/>
              <w:t>2.</w:t>
            </w:r>
          </w:p>
        </w:tc>
        <w:tc>
          <w:tcPr>
            <w:tcW w:w="6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>Количество внеплановых выездных проверок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 xml:space="preserve">                 </w:t>
            </w:r>
            <w:r>
              <w:rPr/>
              <w:t>3</w:t>
            </w:r>
          </w:p>
        </w:tc>
      </w:tr>
      <w:tr>
        <w:trPr/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 xml:space="preserve">       </w:t>
            </w:r>
            <w:r>
              <w:rPr/>
              <w:t>3.</w:t>
            </w:r>
          </w:p>
        </w:tc>
        <w:tc>
          <w:tcPr>
            <w:tcW w:w="6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>Количество совместных выездных проверок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 xml:space="preserve">                 </w:t>
            </w:r>
            <w:r>
              <w:rPr/>
              <w:t>0</w:t>
            </w:r>
          </w:p>
        </w:tc>
      </w:tr>
      <w:tr>
        <w:trPr/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 xml:space="preserve">       </w:t>
            </w:r>
            <w:r>
              <w:rPr/>
              <w:t>4.</w:t>
            </w:r>
          </w:p>
        </w:tc>
        <w:tc>
          <w:tcPr>
            <w:tcW w:w="6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>Общее количество выявленных нарушений при проведении мероприятий по осуществлению муниципального земельного контроля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 xml:space="preserve">                 </w:t>
            </w:r>
            <w:r>
              <w:rPr/>
              <w:t>3</w:t>
            </w:r>
          </w:p>
        </w:tc>
      </w:tr>
      <w:tr>
        <w:trPr/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 xml:space="preserve">       </w:t>
            </w:r>
            <w:r>
              <w:rPr/>
              <w:t>5.</w:t>
            </w:r>
          </w:p>
        </w:tc>
        <w:tc>
          <w:tcPr>
            <w:tcW w:w="6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>Материалы муниципального земельного контроля, переданные в органы государственного земельного надзора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  <w:t xml:space="preserve">                 </w:t>
            </w:r>
            <w:r>
              <w:rPr/>
              <w:t>0</w:t>
            </w:r>
          </w:p>
        </w:tc>
      </w:tr>
    </w:tbl>
    <w:p>
      <w:pPr>
        <w:pStyle w:val="Normal"/>
        <w:widowControl w:val="false"/>
        <w:jc w:val="left"/>
        <w:rPr>
          <w:rFonts w:ascii="Liberation Serif" w:hAnsi="Liberation Serif" w:eastAsia="Mangal"/>
          <w:b/>
          <w:b/>
          <w:bCs/>
          <w:color w:val="000000"/>
          <w:kern w:val="2"/>
          <w:sz w:val="28"/>
          <w:u w:val="none"/>
          <w:lang w:val="ru-RU" w:eastAsia="zxx"/>
        </w:rPr>
      </w:pPr>
      <w:r>
        <w:rPr>
          <w:rFonts w:eastAsia="Mangal"/>
          <w:b/>
          <w:bCs/>
          <w:color w:val="000000"/>
          <w:kern w:val="2"/>
          <w:sz w:val="28"/>
          <w:u w:val="none"/>
          <w:lang w:val="ru-RU" w:eastAsia="zxx"/>
        </w:rPr>
      </w:r>
    </w:p>
    <w:p>
      <w:pPr>
        <w:pStyle w:val="Normal"/>
        <w:widowControl w:val="false"/>
        <w:jc w:val="left"/>
        <w:rPr>
          <w:rFonts w:ascii="Liberation Serif" w:hAnsi="Liberation Serif" w:eastAsia="Mangal"/>
          <w:b/>
          <w:b/>
          <w:bCs/>
          <w:color w:val="000000"/>
          <w:kern w:val="2"/>
          <w:sz w:val="28"/>
          <w:u w:val="none"/>
          <w:lang w:val="ru-RU" w:eastAsia="zxx"/>
        </w:rPr>
      </w:pPr>
      <w:r>
        <w:rPr>
          <w:rFonts w:eastAsia="Mangal"/>
          <w:b/>
          <w:bCs/>
          <w:color w:val="000000"/>
          <w:kern w:val="2"/>
          <w:sz w:val="28"/>
          <w:u w:val="none"/>
          <w:lang w:val="ru-RU" w:eastAsia="zxx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Liberation Serif" w:cs="Liberation Serif"/>
      <w:color w:val="000000"/>
      <w:kern w:val="2"/>
      <w:sz w:val="24"/>
      <w:szCs w:val="24"/>
      <w:lang w:val="ru-RU" w:eastAsia="hi-IN" w:bidi="hi-IN"/>
    </w:rPr>
  </w:style>
  <w:style w:type="character" w:styleId="Style14">
    <w:name w:val="Интернет-ссылка"/>
    <w:rPr>
      <w:color w:val="000080"/>
      <w:u w:val="single" w:color="000000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widowControl w:val="false"/>
      <w:spacing w:before="240" w:after="120"/>
      <w:jc w:val="left"/>
    </w:pPr>
    <w:rPr>
      <w:rFonts w:ascii="Liberation Sans" w:hAnsi="Liberation Sans" w:eastAsia="Mangal" w:cs="Mangal"/>
      <w:color w:val="000000"/>
      <w:kern w:val="2"/>
      <w:sz w:val="28"/>
      <w:szCs w:val="28"/>
      <w:lang w:val="ru-RU" w:eastAsia="hi-IN"/>
    </w:rPr>
  </w:style>
  <w:style w:type="paragraph" w:styleId="Style16">
    <w:name w:val="Body Text"/>
    <w:basedOn w:val="Normal"/>
    <w:pPr>
      <w:widowControl w:val="false"/>
      <w:spacing w:lineRule="auto" w:line="288" w:before="0" w:after="140"/>
      <w:jc w:val="left"/>
    </w:pPr>
    <w:rPr>
      <w:rFonts w:ascii="Liberation Serif" w:hAnsi="Liberation Serif" w:eastAsia="Liberation Serif"/>
      <w:color w:val="000000"/>
      <w:kern w:val="2"/>
      <w:sz w:val="24"/>
      <w:lang w:val="ru-RU" w:eastAsia="hi-IN"/>
    </w:rPr>
  </w:style>
  <w:style w:type="paragraph" w:styleId="Style17">
    <w:name w:val="List"/>
    <w:basedOn w:val="Style16"/>
    <w:pPr>
      <w:widowControl w:val="false"/>
      <w:spacing w:lineRule="auto" w:line="288" w:before="0" w:after="140"/>
      <w:jc w:val="left"/>
    </w:pPr>
    <w:rPr>
      <w:rFonts w:ascii="Liberation Serif" w:hAnsi="Liberation Serif" w:eastAsia="Mangal" w:cs="Mangal"/>
      <w:color w:val="000000"/>
      <w:kern w:val="2"/>
      <w:sz w:val="24"/>
      <w:lang w:val="ru-RU" w:eastAsia="hi-IN"/>
    </w:rPr>
  </w:style>
  <w:style w:type="paragraph" w:styleId="Style18">
    <w:name w:val="Caption"/>
    <w:basedOn w:val="Normal"/>
    <w:qFormat/>
    <w:pPr>
      <w:widowControl w:val="false"/>
      <w:suppressLineNumbers/>
      <w:spacing w:before="120" w:after="120"/>
      <w:jc w:val="left"/>
    </w:pPr>
    <w:rPr>
      <w:rFonts w:ascii="Liberation Serif" w:hAnsi="Liberation Serif" w:eastAsia="Mangal" w:cs="Mangal"/>
      <w:i/>
      <w:iCs/>
      <w:color w:val="000000"/>
      <w:kern w:val="2"/>
      <w:sz w:val="24"/>
      <w:szCs w:val="24"/>
      <w:lang w:val="ru-RU" w:eastAsia="hi-IN"/>
    </w:rPr>
  </w:style>
  <w:style w:type="paragraph" w:styleId="Style19">
    <w:name w:val="Указатель"/>
    <w:basedOn w:val="Normal"/>
    <w:qFormat/>
    <w:pPr>
      <w:widowControl w:val="false"/>
      <w:suppressLineNumbers/>
      <w:jc w:val="left"/>
    </w:pPr>
    <w:rPr>
      <w:rFonts w:ascii="Liberation Serif" w:hAnsi="Liberation Serif" w:eastAsia="Mangal" w:cs="Mangal"/>
      <w:color w:val="000000"/>
      <w:kern w:val="2"/>
      <w:sz w:val="24"/>
      <w:lang w:val="ru-RU" w:eastAsia="hi-IN"/>
    </w:rPr>
  </w:style>
  <w:style w:type="paragraph" w:styleId="Style20">
    <w:name w:val="Содержимое таблицы"/>
    <w:basedOn w:val="Normal"/>
    <w:qFormat/>
    <w:pPr>
      <w:widowControl w:val="false"/>
      <w:jc w:val="left"/>
    </w:pPr>
    <w:rPr>
      <w:rFonts w:ascii="Liberation Serif" w:hAnsi="Liberation Serif" w:eastAsia="Liberation Serif"/>
      <w:color w:val="000000"/>
      <w:kern w:val="2"/>
      <w:sz w:val="24"/>
      <w:lang w:val="ru-RU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kk5.rosreestr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LibreOffice/5.4.3.2$Windows_x86 LibreOffice_project/92a7159f7e4af62137622921e809f8546db437e5</Application>
  <Pages>2</Pages>
  <Words>319</Words>
  <Characters>2574</Characters>
  <CharactersWithSpaces>3207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2019-02-12T14:47:47Z</dcterms:modified>
  <cp:revision>6</cp:revision>
  <dc:subject/>
  <dc:title/>
</cp:coreProperties>
</file>