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60"/>
        <w:jc w:val="center"/>
        <w:rPr/>
      </w:pPr>
      <w:bookmarkStart w:id="0" w:name="_Ref353189530"/>
      <w:bookmarkEnd w:id="0"/>
      <w:r>
        <w:rPr>
          <w:rFonts w:eastAsia="Times New Roman" w:cs="Times New Roman" w:ascii="Times New Roman" w:hAnsi="Times New Roman"/>
          <w:b/>
          <w:caps/>
          <w:sz w:val="24"/>
          <w:szCs w:val="24"/>
          <w:lang w:eastAsia="ru-RU"/>
        </w:rPr>
        <w:t>муниципальный</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caps/>
          <w:sz w:val="24"/>
          <w:szCs w:val="24"/>
          <w:lang w:eastAsia="ru-RU"/>
        </w:rPr>
        <w:t xml:space="preserve">КОНТРАКТ №  0127300011417000030-0107131-01 </w:t>
      </w:r>
    </w:p>
    <w:p>
      <w:pPr>
        <w:pStyle w:val="Normal"/>
        <w:spacing w:lineRule="auto" w:line="240" w:before="0" w:after="60"/>
        <w:jc w:val="center"/>
        <w:rPr>
          <w:rFonts w:ascii="Times New Roman" w:hAnsi="Times New Roman" w:eastAsia="Times New Roman" w:cs="Times New Roman"/>
          <w:b/>
          <w:b/>
          <w:caps/>
          <w:sz w:val="24"/>
          <w:szCs w:val="24"/>
          <w:lang w:eastAsia="ru-RU"/>
        </w:rPr>
      </w:pPr>
      <w:r>
        <w:rPr>
          <w:rFonts w:eastAsia="Times New Roman" w:cs="Times New Roman" w:ascii="Times New Roman" w:hAnsi="Times New Roman"/>
          <w:b/>
          <w:bCs/>
          <w:caps/>
          <w:sz w:val="24"/>
          <w:szCs w:val="24"/>
          <w:lang w:eastAsia="ru-RU"/>
        </w:rPr>
        <w:t>благоустройство дворовой территории: ул. Октябрьская 7.</w:t>
      </w:r>
    </w:p>
    <w:p>
      <w:pPr>
        <w:pStyle w:val="Normal"/>
        <w:spacing w:lineRule="auto" w:line="240" w:before="0" w:after="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ИКЗ:</w:t>
      </w:r>
      <w:r>
        <w:rPr/>
        <w:t xml:space="preserve"> </w:t>
      </w:r>
      <w:r>
        <w:rPr>
          <w:rFonts w:eastAsia="Times New Roman" w:cs="Times New Roman" w:ascii="Times New Roman" w:hAnsi="Times New Roman"/>
          <w:sz w:val="24"/>
          <w:szCs w:val="24"/>
          <w:lang w:eastAsia="ru-RU"/>
        </w:rPr>
        <w:t xml:space="preserve">173322300095532520100100330064399244 </w:t>
      </w:r>
    </w:p>
    <w:p>
      <w:pPr>
        <w:pStyle w:val="Normal"/>
        <w:spacing w:lineRule="auto" w:line="240" w:before="0" w:after="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jc w:val="center"/>
        <w:rPr/>
      </w:pPr>
      <w:r>
        <w:rPr>
          <w:rFonts w:eastAsia="Times New Roman" w:cs="Times New Roman" w:ascii="Times New Roman" w:hAnsi="Times New Roman"/>
          <w:sz w:val="24"/>
          <w:szCs w:val="24"/>
          <w:lang w:eastAsia="ru-RU"/>
        </w:rPr>
        <w:t>пгт. Погар</w:t>
        <w:tab/>
        <w:tab/>
        <w:tab/>
        <w:tab/>
        <w:tab/>
        <w:tab/>
        <w:t xml:space="preserve">  </w:t>
        <w:tab/>
        <w:tab/>
        <w:t xml:space="preserve"> «</w:t>
      </w:r>
      <w:r>
        <w:rPr>
          <w:rFonts w:eastAsia="Times New Roman" w:cs="Times New Roman" w:ascii="Times New Roman" w:hAnsi="Times New Roman"/>
          <w:sz w:val="24"/>
          <w:szCs w:val="24"/>
          <w:lang w:eastAsia="ru-RU"/>
        </w:rPr>
        <w:t>28</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августа </w:t>
      </w:r>
      <w:r>
        <w:rPr>
          <w:rFonts w:eastAsia="Times New Roman" w:cs="Times New Roman" w:ascii="Times New Roman" w:hAnsi="Times New Roman"/>
          <w:sz w:val="24"/>
          <w:szCs w:val="24"/>
          <w:lang w:eastAsia="ru-RU"/>
        </w:rPr>
        <w:t>2017г.</w:t>
        <w:tab/>
      </w:r>
    </w:p>
    <w:p>
      <w:pPr>
        <w:pStyle w:val="Normal"/>
        <w:tabs>
          <w:tab w:val="left" w:pos="540" w:leader="none"/>
        </w:tabs>
        <w:spacing w:lineRule="auto" w:line="240" w:before="0" w:after="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ab/>
        <w:t>Администрация Погарского района, в лице главы администрации Цыганок Сергея Ивановича, действующей на основании Устава, именуемый в дальнейшем «Заказчик», с одной стороны, и Общество с ограниченной ответственностью «Погаравтодорстрой», именуемое в дальнейшем Подрядчик, в лице генерального директора Ласуновой Светланы Ивановны,  действующего на основании Устава</w:t>
      </w:r>
      <w:r>
        <w:rPr>
          <w:rFonts w:eastAsia="Times New Roman" w:cs="Times New Roman" w:ascii="Times New Roman" w:hAnsi="Times New Roman"/>
          <w:color w:val="000000"/>
          <w:sz w:val="24"/>
          <w:szCs w:val="24"/>
          <w:lang w:eastAsia="ru-RU"/>
        </w:rPr>
        <w:t xml:space="preserve">, именуемый в дальнейшем «Подрядчик» с </w:t>
      </w:r>
      <w:r>
        <w:rPr>
          <w:rFonts w:eastAsia="Times New Roman" w:cs="Times New Roman" w:ascii="Times New Roman" w:hAnsi="Times New Roman"/>
          <w:sz w:val="24"/>
          <w:szCs w:val="24"/>
          <w:lang w:eastAsia="ru-RU"/>
        </w:rPr>
        <w:t xml:space="preserve">другой стороны, совместно именуемые в дальнейшем «Стороны», </w:t>
      </w:r>
      <w:r>
        <w:rPr>
          <w:rFonts w:eastAsia="Times New Roman" w:cs="Times New Roman" w:ascii="Times New Roman" w:hAnsi="Times New Roman"/>
          <w:color w:val="000000"/>
          <w:sz w:val="24"/>
          <w:szCs w:val="24"/>
          <w:lang w:eastAsia="ru-RU"/>
        </w:rPr>
        <w:t>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w:t>
      </w:r>
      <w:r>
        <w:rPr/>
        <w:t xml:space="preserve"> </w:t>
      </w:r>
      <w:r>
        <w:rPr>
          <w:rFonts w:eastAsia="Times New Roman" w:cs="Times New Roman" w:ascii="Times New Roman" w:hAnsi="Times New Roman"/>
          <w:color w:val="000000"/>
          <w:sz w:val="24"/>
          <w:szCs w:val="24"/>
          <w:lang w:eastAsia="ru-RU"/>
        </w:rPr>
        <w:t>Федеральный закон от 05.04.2013г. № 44-ФЗ) и на основании Протокола заседания Единой комиссии от «15» августа 2017г. № 0127300011417000030 заключили настоящий Муниципальный контракт (далее контракт) о  нижеследующем:</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 ПРЕДМЕТ КОНТРАКТА</w:t>
      </w:r>
    </w:p>
    <w:p>
      <w:pPr>
        <w:pStyle w:val="Normal"/>
        <w:suppressAutoHyphens w:val="true"/>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r>
        <w:rPr>
          <w:rFonts w:eastAsia="Arial Unicode MS" w:cs="Times New Roman" w:ascii="Times New Roman" w:hAnsi="Times New Roman"/>
          <w:color w:val="000000"/>
          <w:sz w:val="24"/>
          <w:szCs w:val="24"/>
          <w:lang w:eastAsia="ru-RU"/>
        </w:rPr>
        <w:t xml:space="preserve"> В целях обеспечения нужд Заказчика Подрядчик в соответствии с требованиями и условиями настоящего Контракта обязуется по заданию Заказчика выполнить работы по благоустройству дворовой территории ул. Октябрьская 7, в рамках реализации муниципальной программы "Формирование современной городской среды», </w:t>
      </w:r>
      <w:r>
        <w:rPr>
          <w:rFonts w:eastAsia="Times New Roman" w:cs="Times New Roman" w:ascii="Times New Roman" w:hAnsi="Times New Roman"/>
          <w:sz w:val="24"/>
          <w:szCs w:val="24"/>
          <w:lang w:eastAsia="ru-RU"/>
        </w:rPr>
        <w:t>в соответствии с требованиями  и условиями настоящего контракта, с действующими строительными нормами и правилами, сметной документацией (Приложение №1 Техническое задание), определяющей его технические характеристики, а так же качество и комплектность, а  Заказчик обязуется принять и оплатить работы в соответствии с условиями настоящего контракта.</w:t>
      </w:r>
    </w:p>
    <w:p>
      <w:pPr>
        <w:pStyle w:val="Normal"/>
        <w:spacing w:lineRule="auto" w:line="240" w:before="0" w:after="60"/>
        <w:ind w:right="4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1.2. </w:t>
      </w:r>
      <w:r>
        <w:rPr>
          <w:rFonts w:eastAsia="Times New Roman" w:cs="Times New Roman" w:ascii="Times New Roman" w:hAnsi="Times New Roman"/>
          <w:lang w:eastAsia="zh-CN"/>
        </w:rPr>
        <w:t>Срок исполнения Подрядчиком своих обязательств по настоящему Контракту  до 30.10.2017г.</w:t>
      </w:r>
    </w:p>
    <w:p>
      <w:pPr>
        <w:pStyle w:val="Normal"/>
        <w:spacing w:lineRule="auto" w:line="240" w:before="0" w:after="60"/>
        <w:ind w:right="40" w:firstLine="54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1.3. Выполнение работ осуществляется по адресу: Брянская обл, пгт.Погар, </w:t>
      </w:r>
      <w:r>
        <w:rPr>
          <w:rFonts w:eastAsia="Times New Roman" w:cs="Times New Roman" w:ascii="Times New Roman" w:hAnsi="Times New Roman"/>
          <w:b/>
          <w:bCs/>
          <w:sz w:val="24"/>
          <w:szCs w:val="24"/>
          <w:lang w:eastAsia="ru-RU"/>
        </w:rPr>
        <w:t>ул.</w:t>
      </w:r>
      <w:r>
        <w:rPr>
          <w:rFonts w:eastAsia="Times New Roman" w:cs="Times New Roman" w:ascii="Times New Roman" w:hAnsi="Times New Roman"/>
          <w:b/>
          <w:bCs/>
          <w:sz w:val="24"/>
          <w:szCs w:val="24"/>
          <w:highlight w:val="yellow"/>
          <w:lang w:eastAsia="ru-RU"/>
        </w:rPr>
        <w:t xml:space="preserve"> </w:t>
      </w:r>
      <w:r>
        <w:rPr>
          <w:rFonts w:eastAsia="Times New Roman" w:cs="Times New Roman" w:ascii="Times New Roman" w:hAnsi="Times New Roman"/>
          <w:b/>
          <w:bCs/>
          <w:sz w:val="24"/>
          <w:szCs w:val="24"/>
          <w:lang w:eastAsia="ru-RU"/>
        </w:rPr>
        <w:t>Октябрьская 7.</w:t>
      </w:r>
    </w:p>
    <w:p>
      <w:pPr>
        <w:pStyle w:val="Normal"/>
        <w:spacing w:lineRule="auto" w:line="240" w:before="0" w:after="60"/>
        <w:ind w:right="4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Все работы выполняются силами Подрядчика, из его материалов и средств.</w:t>
      </w:r>
    </w:p>
    <w:p>
      <w:pPr>
        <w:pStyle w:val="Normal"/>
        <w:spacing w:lineRule="auto" w:line="240" w:before="0" w:after="60"/>
        <w:ind w:right="4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При исполнении настоящего Контракта,  Подрядчик может привлечь в рамках существующего законодательства субподрядные организации, обладающие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данного вида работ.</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360" w:leader="none"/>
          <w:tab w:val="left" w:pos="900" w:leader="none"/>
        </w:tabs>
        <w:spacing w:lineRule="auto" w:line="240" w:before="0" w:after="0"/>
        <w:ind w:firstLine="540"/>
        <w:jc w:val="center"/>
        <w:rPr>
          <w:rFonts w:ascii="Times New Roman" w:hAnsi="Times New Roman" w:eastAsia="Calibri" w:cs="Times New Roman"/>
          <w:b/>
          <w:b/>
          <w:color w:val="0000FF"/>
          <w:sz w:val="24"/>
          <w:szCs w:val="24"/>
          <w:lang w:eastAsia="ru-RU"/>
        </w:rPr>
      </w:pPr>
      <w:r>
        <w:rPr>
          <w:rFonts w:eastAsia="Calibri" w:cs="Times New Roman" w:ascii="Times New Roman" w:hAnsi="Times New Roman"/>
          <w:b/>
          <w:sz w:val="24"/>
          <w:szCs w:val="24"/>
          <w:lang w:eastAsia="ru-RU"/>
        </w:rPr>
        <w:t>2.  ПРАВА И ОБЯЗАННОСТИ СТОРОН</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 Подрядчик обязуется: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 Осуществить выполнение работ по адресу, указанному в п.1.3. настоящего контракта, передать Работы по количеству и качеству, в соответствии с требованиями контракта.</w:t>
      </w:r>
    </w:p>
    <w:p>
      <w:pPr>
        <w:pStyle w:val="Normal"/>
        <w:shd w:val="clear" w:color="auto" w:fill="FFFFFF"/>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 Информировать Заказчика о заключении договора субподряда. Заказчик может рекомендовать  Подрядчику  замену субподрядчика при наличии мотивированной обоснованной причины.</w:t>
      </w:r>
    </w:p>
    <w:p>
      <w:pPr>
        <w:pStyle w:val="Normal"/>
        <w:shd w:val="clear" w:color="auto" w:fill="FFFFFF"/>
        <w:tabs>
          <w:tab w:val="left" w:pos="360" w:leader="none"/>
        </w:tabs>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любом случае Подрядчик несет прямую ответственность за качество и сроки выполняемых субподрядчиками работ.</w:t>
      </w:r>
    </w:p>
    <w:p>
      <w:pPr>
        <w:pStyle w:val="Normal"/>
        <w:shd w:val="clear" w:color="auto" w:fill="FFFFFF"/>
        <w:tabs>
          <w:tab w:val="left" w:pos="540" w:leader="none"/>
        </w:tabs>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2.1.3.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pPr>
        <w:pStyle w:val="Normal"/>
        <w:shd w:val="clear" w:color="auto" w:fill="FFFFFF"/>
        <w:tabs>
          <w:tab w:val="left" w:pos="540" w:leader="none"/>
        </w:tabs>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2.1.4. 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w:t>
      </w:r>
    </w:p>
    <w:p>
      <w:pPr>
        <w:pStyle w:val="Normal"/>
        <w:tabs>
          <w:tab w:val="left" w:pos="540" w:leader="none"/>
        </w:tabs>
        <w:spacing w:lineRule="auto" w:line="240" w:before="0" w:after="120"/>
        <w:ind w:firstLine="54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2.1.5. Нести риск случайного уничтожения и случайного повреждения результата выполненных работ на объекте до момента сдачи объекта в гарантийную эксплуатацию, кроме случаев, связанных с непреодолимой силой. </w:t>
      </w:r>
    </w:p>
    <w:p>
      <w:pPr>
        <w:pStyle w:val="Normal"/>
        <w:tabs>
          <w:tab w:val="left" w:pos="540" w:leader="none"/>
        </w:tabs>
        <w:spacing w:lineRule="auto" w:line="240" w:before="0" w:after="120"/>
        <w:ind w:firstLine="54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2.1.6. Компенсировать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 Передать вместе с Работами необходимую техническую и иную документацию, снабженную переводом на русский язык.</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2.1.8. Заблаговременно известить Заказчика о точной дате выполнения работ, в противном случае претензии по сроку приемки работ не принимаются.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2.1.9. Допускать представителей Заказчика для проверки выполнения контракта и качества работ, представлять Заказчику необходимую информацию.</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2.1.10. По окончании работ сдать результаты работы Заказчику и подготовить акт выполненных работ (КС-2), (КС-3),  счет-фактуру.</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2.1.11. В случае несоответствия выполненных Работ сметной документации контракта сторонами составляется акт (дефектная ведомость) с перечнем недостатков. Для участия в составлении дефектной ведомости Подрядчик  должен направить своего представителя не позднее 3 (трех) дней со дня получения письменного извещения Заказчика, в противном случае дефектная ведомость составляется комиссией Заказчика в одностороннем порядке.</w:t>
      </w:r>
    </w:p>
    <w:p>
      <w:pPr>
        <w:pStyle w:val="Normal"/>
        <w:spacing w:lineRule="auto" w:line="240" w:before="0" w:after="60"/>
        <w:ind w:left="72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 Заказчик обязуется: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2.2.1. Проводить проверки Подрядчика по организации им производства работ и контроля качества на объекте.</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2.2.2. Предъявлять претензии к Подрядчику в связи с некачественным выполнением работ, невыполнение работ в сроки установленные Контрактом, ГК РФ и иными нормативными правовыми актами. Требовать от Подрядчика устранение некачественно выполненных работ, а также выполнения работ в установленные сроки.</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2.2.3. Проверять обоснованность применяемых расценок, а также сведений, содержащихся в документах, предъявленных подрядной организацией к оплате за выполненные работы.</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2.2.4.Принять и оплатить выполненные работы в порядке и на условиях установленных настоящим контрактом.</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2.2.5.Произвести приемку работ и оформление необходимых документов или дать         мотивированный отказ о приемке работ в течение 3 (трех) рабочих дней после получения от Подрядчика извещения об окончании работ.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2.2.6.Приемка работ по количеству и качеству осуществляется Заказчиком согласно требованиям и условиям настоящего контракта. Работы должны быть идентифицированы, то есть определенно обособлены, или иным образом обозначены как работы, являющиеся предметом данного контракта.</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ind w:firstLine="54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3.  ЦЕНА КОНТРАКТА   И ПОРЯДОК РАСЧЕТА</w:t>
      </w:r>
    </w:p>
    <w:p>
      <w:pPr>
        <w:pStyle w:val="Normal"/>
        <w:spacing w:lineRule="auto" w:line="240" w:before="0" w:after="60"/>
        <w:ind w:firstLine="540"/>
        <w:jc w:val="both"/>
        <w:rPr>
          <w:rFonts w:ascii="Times New Roman" w:hAnsi="Times New Roman"/>
          <w:szCs w:val="24"/>
        </w:rPr>
      </w:pPr>
      <w:r>
        <w:rPr>
          <w:rFonts w:eastAsia="Times New Roman" w:cs="Times New Roman" w:ascii="Times New Roman" w:hAnsi="Times New Roman"/>
          <w:color w:val="000000"/>
          <w:sz w:val="24"/>
          <w:szCs w:val="24"/>
          <w:lang w:eastAsia="ru-RU"/>
        </w:rPr>
        <w:t xml:space="preserve">3.1. Цена Контракта  составляет </w:t>
      </w:r>
      <w:r>
        <w:rPr>
          <w:rFonts w:eastAsia="Times New Roman" w:cs="Times New Roman" w:ascii="Times New Roman" w:hAnsi="Times New Roman"/>
          <w:b/>
          <w:color w:val="000000"/>
          <w:sz w:val="24"/>
          <w:szCs w:val="24"/>
          <w:lang w:eastAsia="ru-RU"/>
        </w:rPr>
        <w:t xml:space="preserve">706 101,75 рублей </w:t>
      </w:r>
      <w:r>
        <w:rPr>
          <w:rFonts w:eastAsia="Times New Roman" w:cs="Times New Roman" w:ascii="Times New Roman" w:hAnsi="Times New Roman"/>
          <w:color w:val="000000"/>
          <w:sz w:val="24"/>
          <w:szCs w:val="24"/>
          <w:lang w:eastAsia="ru-RU"/>
        </w:rPr>
        <w:t>(Семьсот шесть тысяч сто один рубль, 75 копеек). Без</w:t>
      </w:r>
      <w:r>
        <w:rPr>
          <w:rFonts w:ascii="Times New Roman" w:hAnsi="Times New Roman"/>
          <w:szCs w:val="24"/>
        </w:rPr>
        <w:t xml:space="preserve"> НДС. </w:t>
      </w:r>
    </w:p>
    <w:p>
      <w:pPr>
        <w:pStyle w:val="Normal"/>
        <w:spacing w:lineRule="auto" w:line="240" w:before="0" w:after="60"/>
        <w:ind w:firstLine="540"/>
        <w:jc w:val="both"/>
        <w:rPr>
          <w:rFonts w:ascii="Times New Roman" w:hAnsi="Times New Roman"/>
          <w:szCs w:val="24"/>
        </w:rPr>
      </w:pPr>
      <w:r>
        <w:rPr>
          <w:rFonts w:ascii="Times New Roman" w:hAnsi="Times New Roman"/>
          <w:szCs w:val="24"/>
        </w:rPr>
        <w:t>3.1.1. Цена Контракта является твёрдой и не может изменяться в ходе его исполнения, за исключением случаев, предусмотренных действующим законодательством. Цена настоящего Контракта может быть снижена по соглашению Сторон без изменения предусмотренных настоящим Контрактом объемов работ и иных условий исполнения настоящего Контракта.</w:t>
      </w:r>
    </w:p>
    <w:p>
      <w:pPr>
        <w:pStyle w:val="Normal"/>
        <w:spacing w:lineRule="auto" w:line="240" w:before="0" w:after="60"/>
        <w:ind w:firstLine="540"/>
        <w:jc w:val="both"/>
        <w:rPr>
          <w:rFonts w:ascii="Times New Roman" w:hAnsi="Times New Roman"/>
          <w:szCs w:val="24"/>
        </w:rPr>
      </w:pPr>
      <w:r>
        <w:rPr>
          <w:rFonts w:ascii="Times New Roman" w:hAnsi="Times New Roman"/>
          <w:szCs w:val="24"/>
        </w:rPr>
        <w:t>3.1.2. В цену Контракта включают все расходы необходимые для исполнения Контракта, в том числе расходы на перевозку рабочих, страхование, уплату таможенных пошлин, налогов, сборов и других обязательных платежей.</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 В случае, если Подрядчик работает по упрощенной системе налогообложения, НДС  в акты выполненных работ не включаются (за исключением компенсации НДС на материалы, арендованные машины и механизмы при предъявлении подтверждающих документов, в том числе накладных, счетов-фактур). Накладные расходы  и сметная прибыль определяются в соответствии с МДС 81-25.2001 (с учетом внесенных изменений и дополнений), МДС 81- 33.2004 (с учетом внесенных изменений и дополнений)  и коэффициентов.</w:t>
      </w:r>
    </w:p>
    <w:p>
      <w:pPr>
        <w:pStyle w:val="Normal"/>
        <w:spacing w:lineRule="auto" w:line="240" w:before="0" w:after="0"/>
        <w:ind w:left="14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3.1.4. В случае, если у Подрядчика, работающего по упрощенной системе налогообложения (без НДС), в течение срока действия Контракта возникает обязанность по уплате НДС, то Стороны определили, что расходы, связанные с компенсацией НДС по Контракту, включены в стоимость работ по Контракту, определенную в п. 2.2 настоящего Контракта.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3.2.  </w:t>
      </w:r>
      <w:r>
        <w:rPr>
          <w:rFonts w:eastAsia="Times New Roman" w:cs="Times New Roman" w:ascii="Times New Roman" w:hAnsi="Times New Roman"/>
          <w:sz w:val="24"/>
          <w:szCs w:val="24"/>
          <w:lang w:eastAsia="ru-RU"/>
        </w:rPr>
        <w:t>Источник финансирования:  Средства местного бюджета.</w:t>
      </w:r>
    </w:p>
    <w:p>
      <w:pPr>
        <w:pStyle w:val="Normal"/>
        <w:spacing w:lineRule="auto" w:line="240" w:before="0" w:after="60"/>
        <w:ind w:firstLine="540"/>
        <w:jc w:val="both"/>
        <w:rPr>
          <w:rFonts w:ascii="Times New Roman" w:hAnsi="Times New Roman" w:eastAsia="Calibri" w:cs="Times New Roman"/>
          <w:sz w:val="24"/>
          <w:szCs w:val="24"/>
          <w:lang w:eastAsia="ru-RU"/>
        </w:rPr>
      </w:pPr>
      <w:r>
        <w:rPr>
          <w:rFonts w:eastAsia="Times New Roman" w:cs="Times New Roman" w:ascii="Times New Roman" w:hAnsi="Times New Roman"/>
          <w:color w:val="000000"/>
          <w:sz w:val="24"/>
          <w:szCs w:val="24"/>
          <w:lang w:eastAsia="ru-RU"/>
        </w:rPr>
        <w:t xml:space="preserve">3.3. </w:t>
      </w:r>
      <w:bookmarkStart w:id="1" w:name="OLE_LINK38"/>
      <w:bookmarkStart w:id="2" w:name="OLE_LINK37"/>
      <w:bookmarkStart w:id="3" w:name="OLE_LINK36"/>
      <w:r>
        <w:rPr>
          <w:rFonts w:eastAsia="Times New Roman" w:cs="Times New Roman" w:ascii="Times New Roman" w:hAnsi="Times New Roman"/>
          <w:sz w:val="24"/>
          <w:szCs w:val="24"/>
          <w:lang w:eastAsia="ru-RU"/>
        </w:rPr>
        <w:t xml:space="preserve">Оплата производится путем перечисления денежных средств на счет Подрядчика </w:t>
      </w:r>
      <w:bookmarkEnd w:id="1"/>
      <w:bookmarkEnd w:id="2"/>
      <w:bookmarkEnd w:id="3"/>
      <w:r>
        <w:rPr>
          <w:rFonts w:eastAsia="Calibri" w:cs="Times New Roman" w:ascii="Times New Roman" w:hAnsi="Times New Roman"/>
          <w:sz w:val="24"/>
          <w:szCs w:val="24"/>
          <w:lang w:eastAsia="ru-RU"/>
        </w:rPr>
        <w:t>за фактически выполненный объем работ в течение 30 дней после подписания Сторонами актов приемки выполненных работ (форма КС-2) и справками о стоимости выполненных работ и затрат (форма КС-3) при отсутствии у Муниципального заказчика претензий и замечаний по количеству и качеству выполненных работ.</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3.4. 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3.5. В случае, если контракт заключается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на основании ч. 13 ст. 34 Федерального закона от 05.04.2013 № 44-ФЗ.</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 ОТВЕТСТВЕННОСТЬ СТОРОН</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 и условиями настоящего контракта.</w:t>
      </w:r>
    </w:p>
    <w:p>
      <w:pPr>
        <w:pStyle w:val="Normal"/>
        <w:spacing w:lineRule="auto" w:line="240" w:before="0" w:after="60"/>
        <w:ind w:right="23"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pPr>
        <w:pStyle w:val="Normal"/>
        <w:spacing w:lineRule="auto" w:line="240" w:before="0" w:after="60"/>
        <w:ind w:right="23"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установлена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pPr>
        <w:pStyle w:val="Normal"/>
        <w:spacing w:lineRule="auto" w:line="240" w:before="0" w:after="60"/>
        <w:ind w:right="23"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определяемой   в соответствии и в  порядке,  установленном Постановлением Правительства РФ №1063 от 25.11.2013г., а именно:  </w:t>
      </w:r>
    </w:p>
    <w:p>
      <w:pPr>
        <w:pStyle w:val="Normal"/>
        <w:spacing w:lineRule="auto" w:line="240" w:before="0" w:after="60"/>
        <w:ind w:right="2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2,5 процента цены Контракта в случае, если цена Контракта не превышает 3 млн. рублей;</w:t>
      </w:r>
    </w:p>
    <w:p>
      <w:pPr>
        <w:pStyle w:val="Normal"/>
        <w:spacing w:lineRule="auto" w:line="240" w:before="0" w:after="60"/>
        <w:ind w:right="2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2 процента цены Контракта в случае, если цена Контракта составляет от 3 млн. рублей до 50 млн. рублей;</w:t>
      </w:r>
    </w:p>
    <w:p>
      <w:pPr>
        <w:pStyle w:val="Normal"/>
        <w:spacing w:lineRule="auto" w:line="240" w:before="0" w:after="60"/>
        <w:ind w:right="2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1,5 процента цены Контракта в случае, если цена Контракта составляет от 50 млн. рублей до 100 млн. рублей;</w:t>
      </w:r>
    </w:p>
    <w:p>
      <w:pPr>
        <w:pStyle w:val="Normal"/>
        <w:spacing w:lineRule="auto" w:line="240" w:before="0" w:after="60"/>
        <w:ind w:right="2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0,5 процента цены Контракта в случае, если цена Контракта превышает 100 млн. рублей.</w:t>
      </w:r>
    </w:p>
    <w:p>
      <w:pPr>
        <w:pStyle w:val="Normal"/>
        <w:spacing w:lineRule="auto" w:line="240" w:before="0" w:after="60"/>
        <w:ind w:right="23"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Сумма штрафа, начисляемая Заказчику в рамках настоящего Контракта, составит </w:t>
      </w:r>
      <w:r>
        <w:rPr>
          <w:rFonts w:eastAsia="Times New Roman" w:cs="Times New Roman" w:ascii="Times New Roman" w:hAnsi="Times New Roman"/>
          <w:b/>
          <w:sz w:val="24"/>
          <w:szCs w:val="24"/>
          <w:lang w:eastAsia="ru-RU"/>
        </w:rPr>
        <w:t>17 652,54 рублей,</w:t>
      </w:r>
      <w:r>
        <w:rPr>
          <w:rFonts w:eastAsia="Times New Roman" w:cs="Times New Roman" w:ascii="Times New Roman" w:hAnsi="Times New Roman"/>
          <w:sz w:val="24"/>
          <w:szCs w:val="24"/>
          <w:lang w:eastAsia="ru-RU"/>
        </w:rPr>
        <w:t xml:space="preserve"> что составляет 2,5 % от цены Контракта.</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от 25.11.2013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eastAsia="Times New Roman" w:cs="Times New Roman" w:ascii="Times New Roman" w:hAnsi="Times New Roman"/>
          <w:color w:val="000000"/>
          <w:sz w:val="24"/>
          <w:szCs w:val="24"/>
          <w:lang w:eastAsia="ru-RU"/>
        </w:rPr>
        <w:t xml:space="preserve">Подрядчиком и определяется по формуле: </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
          <w:color w:val="000000"/>
          <w:sz w:val="24"/>
          <w:szCs w:val="24"/>
          <w:lang w:eastAsia="ru-RU"/>
        </w:rPr>
        <w:t>П = (Ц - В) x С</w:t>
      </w:r>
      <w:r>
        <w:rPr>
          <w:rFonts w:eastAsia="Times New Roman" w:cs="Times New Roman" w:ascii="Times New Roman" w:hAnsi="Times New Roman"/>
          <w:color w:val="000000"/>
          <w:sz w:val="24"/>
          <w:szCs w:val="24"/>
          <w:lang w:eastAsia="ru-RU"/>
        </w:rPr>
        <w:t>, где:</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Ц - цена контракта;</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контракта;</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 размер ставки.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Размер ставки определяется по формуле: </w:t>
      </w:r>
      <w:r>
        <w:rPr>
          <w:rFonts w:eastAsia="Times New Roman" w:cs="Times New Roman" w:ascii="Times New Roman" w:hAnsi="Times New Roman"/>
          <w:color w:val="000000"/>
          <w:sz w:val="24"/>
          <w:szCs w:val="24"/>
          <w:lang w:eastAsia="ru-RU"/>
        </w:rPr>
        <w:drawing>
          <wp:inline distT="0" distB="0" distL="0" distR="9525">
            <wp:extent cx="1076325" cy="28575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1076325" cy="285750"/>
                    </a:xfrm>
                    <a:prstGeom prst="rect">
                      <a:avLst/>
                    </a:prstGeom>
                  </pic:spPr>
                </pic:pic>
              </a:graphicData>
            </a:graphic>
          </wp:inline>
        </w:drawing>
      </w:r>
      <w:r>
        <w:rPr>
          <w:rFonts w:eastAsia="Times New Roman" w:cs="Times New Roman" w:ascii="Times New Roman" w:hAnsi="Times New Roman"/>
          <w:color w:val="000000"/>
          <w:position w:val="-13"/>
          <w:sz w:val="24"/>
          <w:szCs w:val="24"/>
          <w:lang w:eastAsia="ru-RU"/>
        </w:rPr>
        <w:t xml:space="preserve"> </w:t>
      </w:r>
      <w:r>
        <w:rPr>
          <w:rFonts w:eastAsia="Times New Roman" w:cs="Times New Roman" w:ascii="Times New Roman" w:hAnsi="Times New Roman"/>
          <w:color w:val="000000"/>
          <w:sz w:val="24"/>
          <w:szCs w:val="24"/>
          <w:lang w:eastAsia="ru-RU"/>
        </w:rPr>
        <w:t xml:space="preserve">,где:  </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drawing>
          <wp:inline distT="0" distB="0" distL="0" distR="0">
            <wp:extent cx="295275" cy="28575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295275" cy="285750"/>
                    </a:xfrm>
                    <a:prstGeom prst="rect">
                      <a:avLst/>
                    </a:prstGeom>
                  </pic:spPr>
                </pic:pic>
              </a:graphicData>
            </a:graphic>
          </wp:inline>
        </w:drawing>
      </w:r>
      <w:r>
        <w:rPr>
          <w:rFonts w:eastAsia="Times New Roman" w:cs="Times New Roman" w:ascii="Times New Roman" w:hAnsi="Times New Roman"/>
          <w:color w:val="000000"/>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ДП - количество дней просрочки.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Коэффициент К определяется по формуле:</w:t>
      </w:r>
      <w:r>
        <w:rPr/>
        <w:t xml:space="preserve"> </w:t>
      </w:r>
      <w:r>
        <w:rPr/>
        <w:drawing>
          <wp:inline distT="0" distB="0" distL="0" distR="9525">
            <wp:extent cx="1285875" cy="45720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4"/>
                    <a:stretch>
                      <a:fillRect/>
                    </a:stretch>
                  </pic:blipFill>
                  <pic:spPr bwMode="auto">
                    <a:xfrm>
                      <a:off x="0" y="0"/>
                      <a:ext cx="1285875" cy="457200"/>
                    </a:xfrm>
                    <a:prstGeom prst="rect">
                      <a:avLst/>
                    </a:prstGeom>
                  </pic:spPr>
                </pic:pic>
              </a:graphicData>
            </a:graphic>
          </wp:inline>
        </w:drawing>
      </w:r>
      <w:r>
        <w:rPr>
          <w:rFonts w:eastAsia="Times New Roman" w:cs="Times New Roman" w:ascii="Times New Roman" w:hAnsi="Times New Roman"/>
          <w:color w:val="000000"/>
          <w:sz w:val="24"/>
          <w:szCs w:val="24"/>
          <w:lang w:eastAsia="ru-RU"/>
        </w:rPr>
        <w:t>,где:</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ДП - количество дней просрочки;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ДК - срок исполнения обязательства по контракту (количество дней).</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xml:space="preserve">Штрафы начисляются за неисполнение или ненадлежащее исполнение </w:t>
      </w:r>
      <w:r>
        <w:rPr>
          <w:rFonts w:eastAsia="Times New Roman" w:cs="Times New Roman" w:ascii="Times New Roman" w:hAnsi="Times New Roman"/>
          <w:color w:val="000000"/>
          <w:sz w:val="24"/>
          <w:szCs w:val="24"/>
          <w:lang w:eastAsia="ru-RU"/>
        </w:rPr>
        <w:t xml:space="preserve"> Подрядчиком</w:t>
      </w:r>
      <w:r>
        <w:rPr>
          <w:rFonts w:eastAsia="Times New Roman" w:cs="Times New Roman" w:ascii="Times New Roman" w:hAnsi="Times New Roman"/>
          <w:sz w:val="24"/>
          <w:szCs w:val="24"/>
          <w:lang w:eastAsia="ru-RU"/>
        </w:rPr>
        <w:t xml:space="preserve"> обязательств, предусмотренных контрактом, за исключением просрочки исполнения </w:t>
      </w:r>
      <w:r>
        <w:rPr>
          <w:rFonts w:eastAsia="Times New Roman" w:cs="Times New Roman" w:ascii="Times New Roman" w:hAnsi="Times New Roman"/>
          <w:color w:val="000000"/>
          <w:sz w:val="24"/>
          <w:szCs w:val="24"/>
          <w:lang w:eastAsia="ru-RU"/>
        </w:rPr>
        <w:t>Подрядчиком</w:t>
      </w:r>
      <w:r>
        <w:rPr>
          <w:rFonts w:eastAsia="Times New Roman" w:cs="Times New Roman" w:ascii="Times New Roman" w:hAnsi="Times New Roman"/>
          <w:sz w:val="24"/>
          <w:szCs w:val="24"/>
          <w:lang w:eastAsia="ru-RU"/>
        </w:rPr>
        <w:t xml:space="preserve"> обязательств, предусмотренных контрактом.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25.11.2013 №1063, а именно:  </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10 процентов цены Контракта в случае, если цена Контракта не превышает 3 млн. рублей;</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5 процентов цены Контракта в случае, если цена Контракта составляет от 3 млн. рублей до 50 млн. рублей;</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1 процент цены Контракта в случае, если цена Контракта составляет от 50 млн. рублей до 100 млн. рублей;</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0,5 процента цены Контракта в случае, если цена Контракта превышает 100 млн. рублей.</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xml:space="preserve">Сумма штрафа, начисляемая Подрядчику  в рамках настоящего Контракта, составит </w:t>
      </w:r>
      <w:r>
        <w:rPr>
          <w:rFonts w:eastAsia="Times New Roman" w:cs="Times New Roman" w:ascii="Times New Roman" w:hAnsi="Times New Roman"/>
          <w:b/>
          <w:sz w:val="24"/>
          <w:szCs w:val="24"/>
          <w:lang w:eastAsia="ru-RU"/>
        </w:rPr>
        <w:t>70 610,17 рублей</w:t>
      </w:r>
      <w:r>
        <w:rPr>
          <w:rFonts w:eastAsia="Times New Roman" w:cs="Times New Roman" w:ascii="Times New Roman" w:hAnsi="Times New Roman"/>
          <w:sz w:val="24"/>
          <w:szCs w:val="24"/>
          <w:lang w:eastAsia="ru-RU"/>
        </w:rPr>
        <w:t>, что составляет 10 % от цены Контракта.</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Стороны освобождается от уплаты неустойки (штрафа, пени), если докажут, что неисполнение или ненадлежащее исполнение обязательств, предусмотренных контрактом, произошли вследствие непреодолимой силы или по вине другой Стороны.</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 Применение штрафных санкций не освобождает Стороны от выполнения принятых ими на себя обязательств по Контракту.</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true"/>
        <w:spacing w:lineRule="auto" w:line="240" w:before="0" w:after="0"/>
        <w:ind w:firstLine="540"/>
        <w:jc w:val="center"/>
        <w:rPr>
          <w:rFonts w:ascii="Times New Roman" w:hAnsi="Times New Roman" w:eastAsia="Arial Unicode MS" w:cs="Times New Roman"/>
          <w:b/>
          <w:b/>
          <w:color w:val="000000"/>
          <w:sz w:val="24"/>
          <w:szCs w:val="24"/>
          <w:lang w:eastAsia="ru-RU"/>
        </w:rPr>
      </w:pPr>
      <w:r>
        <w:rPr>
          <w:rFonts w:eastAsia="Arial Unicode MS" w:cs="Times New Roman" w:ascii="Times New Roman" w:hAnsi="Times New Roman"/>
          <w:b/>
          <w:color w:val="000000"/>
          <w:sz w:val="24"/>
          <w:szCs w:val="24"/>
          <w:lang w:eastAsia="ru-RU"/>
        </w:rPr>
        <w:t>5. ПОРЯДОК СДАЧИ-ПРИЕМКИ ВЫПОЛНЕННЫХ РАБОТ</w:t>
      </w:r>
    </w:p>
    <w:p>
      <w:pPr>
        <w:pStyle w:val="Normal"/>
        <w:widowControl w:val="false"/>
        <w:suppressAutoHyphens w:val="true"/>
        <w:spacing w:lineRule="auto" w:line="240" w:before="0" w:after="0"/>
        <w:ind w:firstLine="540"/>
        <w:jc w:val="center"/>
        <w:rPr>
          <w:rFonts w:ascii="Times New Roman" w:hAnsi="Times New Roman" w:eastAsia="Arial Unicode MS" w:cs="Times New Roman"/>
          <w:b/>
          <w:b/>
          <w:color w:val="000000"/>
          <w:sz w:val="24"/>
          <w:szCs w:val="24"/>
          <w:lang w:eastAsia="ru-RU"/>
        </w:rPr>
      </w:pPr>
      <w:r>
        <w:rPr>
          <w:rFonts w:eastAsia="Arial Unicode MS" w:cs="Times New Roman" w:ascii="Times New Roman" w:hAnsi="Times New Roman"/>
          <w:b/>
          <w:color w:val="000000"/>
          <w:sz w:val="24"/>
          <w:szCs w:val="24"/>
          <w:lang w:eastAsia="ru-RU"/>
        </w:rPr>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5.1. Подрядчик обязан письменно уведомить Заказчика о завершении работ по настоящему контракту и готовности объекта к сдаче в эксплуатацию. Под готовым к сдаче в эксплуатацию объектом понимается объект, на котором в полном объеме выполнены все предусмотренные техническим заданием и локальными сметами работы.</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 Заказчик, получивший сообщение Подрядчика, приступает к приемке результата выполненных работ, назначает приемочную комиссию и обеспечивает участие в приемке представителей заинтересованных служб или отделов.</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5.2.1. При этом устанавливается следующий порядок:</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Подрядчик кроме  актов выполненных работ по форме КС-2 и справок о стоимости выполненных работ и затрат по форме КС-3  предоставляет, акты на скрытые работы, исполнительные сметы и схемы  и  др.  для их проверки представителю Заказчика.</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5.2.2. Заказчик не позднее 2 (двух) рабочих дней с момента получения актов о приемке выполненных работ по форме № КС – 2, производит соответствующую проверку.</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5.2.3. По результатам проверки актов о приемке выполненных работ   Заказчиком, Подрядчик в течение 3 (трёх) рабочих дней представляет Заказчику откорректированный акт о приемке выполненных работ по форме № КС – 2 (при наличии такой необходимости) и оформляет справку о стоимости работ по форме № КС – 3.</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5.2.4. При неисполнении подрядчиком обязательств предусмотренных п.5.2.1., 5.2.2., 5.2.3. выполненные работы Заказчиком не принимаются и рассматриваются после предоставления Подрядчиком необходимых документов.</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5.3. Сдача объекта Подрядчиком и приемка его Заказчиком оформляется актом, подписанным обеими сторонами и представителями иных заинтересованных лиц, входящих в приемочную комиссию.</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5.4. При обнаружении Заказчиком в ходе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 xml:space="preserve">5.5. Подрядчик обязан устранить все обнаруженные недостатки своими силами и за свой счет в сроки, указанные в рекламационном акте. 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 </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5.6. Заказчик вправе отказаться от приемки объекта в случае обнаружения недостатков, которые исключают его эксплуатацию и не могут быть устранены Подрядчиком или Заказчиком.</w:t>
      </w:r>
    </w:p>
    <w:p>
      <w:pPr>
        <w:pStyle w:val="Normal"/>
        <w:keepNext/>
        <w:spacing w:lineRule="auto" w:line="360" w:before="0" w:after="60"/>
        <w:ind w:firstLine="54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6. ГАРАНТИЙНЫЕ ОБЯЗАТЕЛЬСТВА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6.1. Подрядчик   гарантирует    достижение      указанных  в  технической   документации     показателей и возможность эксплуатации объекта  в соответствии с настоящим контрактом  на протяжении гарантийного срока.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6.2. Гарантии качества распространяются на все конструктивные элементы и работы, выполненные Подрядчиком и субподрядчиками по настоящему Контракту.</w:t>
      </w:r>
    </w:p>
    <w:p>
      <w:pPr>
        <w:pStyle w:val="Normal"/>
        <w:shd w:val="clear" w:color="auto" w:fill="FFFFFF"/>
        <w:tabs>
          <w:tab w:val="left" w:pos="9322" w:leader="underscore"/>
        </w:tabs>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6.3. Срок гарантии качества на выполненные работы составляет </w:t>
      </w:r>
      <w:r>
        <w:rPr>
          <w:rFonts w:eastAsia="Times New Roman" w:cs="Times New Roman" w:ascii="Times New Roman" w:hAnsi="Times New Roman"/>
          <w:bCs/>
          <w:color w:val="000000"/>
          <w:sz w:val="24"/>
          <w:szCs w:val="24"/>
          <w:lang w:eastAsia="ru-RU"/>
        </w:rPr>
        <w:t>3 года</w:t>
      </w:r>
      <w:r>
        <w:rPr>
          <w:rFonts w:eastAsia="Times New Roman" w:cs="Times New Roman" w:ascii="Times New Roman" w:hAnsi="Times New Roman"/>
          <w:color w:val="000000"/>
          <w:sz w:val="24"/>
          <w:szCs w:val="24"/>
          <w:lang w:eastAsia="ru-RU"/>
        </w:rPr>
        <w:t>, при этом началом срока действия гарантийных обязательств Подрядчика, считается дата подписания акта о сдаче-приемке выполненных работ сторонами.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6.4. Если в период гарантийной эксплуатации объекта обнаружаться дефекты, то Подрядчик обязан их устранить за свой счет в течение 28 дней, гарантийный срок при этом продлевается на период устранения дефектов. </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Для участия в составлении акта, фиксирующего дефекты и сроков их устранения, Подрядчик обязан направить своего представителя не позднее 3 дней со дня получения письменного извещения Заказчика.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7. ИЗМЕНЕНИЕ, РАСТОРЖЕНИЕ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отступление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от 05.04.2013 № 44-ФЗ.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7.8. Заказчик обязан принять решение об одностороннем отказе от исполнения контракта, если в ходе исполнения контракта установлено, что Подрядчик и  поставляемый товар не соответствуют установленным извещением об осуществлении закупки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05.04.2013 года № 44-ФЗ порядке в реестр недобросовестных «Подрядчиков».</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7.10.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7.11.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Normal"/>
        <w:widowControl w:val="false"/>
        <w:spacing w:lineRule="auto" w:line="240" w:before="0" w:after="0"/>
        <w:ind w:firstLine="851"/>
        <w:jc w:val="both"/>
        <w:rPr>
          <w:rFonts w:ascii="Times New Roman" w:hAnsi="Times New Roman" w:eastAsia="Calibri" w:cs="Times New Roman"/>
          <w:lang w:eastAsia="ru-RU"/>
        </w:rPr>
      </w:pPr>
      <w:r>
        <w:rPr>
          <w:rFonts w:eastAsia="Calibri" w:cs="Times New Roman" w:ascii="Times New Roman" w:hAnsi="Times New Roman"/>
          <w:lang w:eastAsia="ru-RU"/>
        </w:rPr>
      </w:r>
    </w:p>
    <w:p>
      <w:pPr>
        <w:pStyle w:val="Normal"/>
        <w:spacing w:lineRule="auto" w:line="240" w:before="0" w:after="60"/>
        <w:ind w:firstLine="54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8. ПОРЯДОК РАЗРЕШЕНИЯ СПОРОВ</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ru-RU"/>
        </w:rPr>
        <w:t>8</w:t>
      </w:r>
      <w:r>
        <w:rPr>
          <w:rFonts w:eastAsia="Times New Roman" w:cs="Times New Roman" w:ascii="Times New Roman" w:hAnsi="Times New Roman"/>
          <w:sz w:val="24"/>
          <w:szCs w:val="24"/>
          <w:lang w:eastAsia="zh-CN"/>
        </w:rPr>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8.2. Все достигнутые договоренности Стороны оформляют в виде дополнительных соглашений, подписанных Сторонами и скрепленных печатями.</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 До передачи спора на разрешение арбитражного суда  Стороны принимают меры к его урегулированию в претензионном порядке.</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8.3.2. Если претензионные требования подлежат денежной оценке, в претензии указывается истребуемая сумма и ее полный и обоснованный расчет.</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8.4. В случае невыполнения Сторонами своих обязательств и недостижения взаимного согласия споры по настоящему Контракту разрешаются в Арбитражном суде Брянской области.</w:t>
      </w:r>
    </w:p>
    <w:p>
      <w:pPr>
        <w:pStyle w:val="Normal"/>
        <w:widowControl w:val="false"/>
        <w:suppressAutoHyphens w:val="true"/>
        <w:spacing w:lineRule="auto" w:line="240" w:before="0" w:after="0"/>
        <w:ind w:firstLine="54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9.  ОБСТОЯТЕЛЬСТВА НЕПРЕОДОЛИМОЙ  СИЛЫ</w:t>
      </w:r>
    </w:p>
    <w:p>
      <w:pPr>
        <w:pStyle w:val="Normal"/>
        <w:widowControl w:val="false"/>
        <w:suppressAutoHyphens w:val="true"/>
        <w:spacing w:lineRule="auto" w:line="240" w:before="0" w:after="0"/>
        <w:ind w:firstLine="540"/>
        <w:jc w:val="both"/>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9.1.Стороны освобождаются от ответственности за полное или частичное неисполнение своих обязательств по настоящему Контракту, в случае ели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pPr>
        <w:pStyle w:val="Normal"/>
        <w:widowControl w:val="false"/>
        <w:suppressAutoHyphens w:val="true"/>
        <w:spacing w:lineRule="auto" w:line="240" w:before="0" w:after="0"/>
        <w:ind w:firstLine="540"/>
        <w:jc w:val="both"/>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9.2.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pPr>
        <w:pStyle w:val="Normal"/>
        <w:widowControl w:val="false"/>
        <w:suppressAutoHyphens w:val="true"/>
        <w:spacing w:lineRule="auto" w:line="240" w:before="0" w:after="0"/>
        <w:ind w:firstLine="540"/>
        <w:jc w:val="both"/>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9.3.  Если такое  уведомление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pPr>
        <w:pStyle w:val="Normal"/>
        <w:widowControl w:val="false"/>
        <w:suppressAutoHyphens w:val="true"/>
        <w:spacing w:lineRule="auto" w:line="240" w:before="0" w:after="0"/>
        <w:ind w:firstLine="540"/>
        <w:jc w:val="both"/>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10. ОБЕСПЕЧЕНИЕ ИСПОЛНЕНИЯ КОНТРАКТА</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color w:val="000000"/>
          <w:sz w:val="24"/>
          <w:szCs w:val="24"/>
          <w:lang w:eastAsia="ru-RU"/>
        </w:rPr>
        <w:t xml:space="preserve">10.1. </w:t>
      </w:r>
      <w:r>
        <w:rPr>
          <w:rFonts w:eastAsia="Times New Roman" w:cs="Times New Roman" w:ascii="Times New Roman" w:hAnsi="Times New Roman"/>
          <w:bCs/>
          <w:color w:val="000000"/>
          <w:sz w:val="24"/>
          <w:szCs w:val="24"/>
          <w:lang w:eastAsia="ru-RU"/>
        </w:rPr>
        <w:t xml:space="preserve">Размер обеспечения исполнения контракта составляет 5% </w:t>
      </w:r>
      <w:r>
        <w:rPr>
          <w:rFonts w:eastAsia="Times New Roman" w:cs="Times New Roman" w:ascii="Times New Roman" w:hAnsi="Times New Roman"/>
          <w:color w:val="000000"/>
          <w:sz w:val="24"/>
          <w:szCs w:val="24"/>
          <w:lang w:eastAsia="ru-RU"/>
        </w:rPr>
        <w:t>от начальной (максимальной) цены</w:t>
      </w:r>
      <w:r>
        <w:rPr>
          <w:rFonts w:eastAsia="Times New Roman" w:cs="Times New Roman" w:ascii="Times New Roman" w:hAnsi="Times New Roman"/>
          <w:bCs/>
          <w:color w:val="000000"/>
          <w:sz w:val="24"/>
          <w:szCs w:val="24"/>
          <w:lang w:eastAsia="ru-RU"/>
        </w:rPr>
        <w:t xml:space="preserve"> контракта –  </w:t>
      </w:r>
      <w:r>
        <w:rPr>
          <w:rFonts w:eastAsia="Times New Roman" w:cs="Times New Roman" w:ascii="Times New Roman" w:hAnsi="Times New Roman"/>
          <w:b/>
          <w:bCs/>
          <w:color w:val="000000"/>
          <w:sz w:val="24"/>
          <w:szCs w:val="24"/>
          <w:lang w:eastAsia="ru-RU"/>
        </w:rPr>
        <w:t>37 163,25</w:t>
      </w:r>
      <w:r>
        <w:rPr>
          <w:rFonts w:eastAsia="Times New Roman" w:cs="Times New Roman" w:ascii="Times New Roman" w:hAnsi="Times New Roman"/>
          <w:b/>
          <w:i/>
          <w:color w:val="000000"/>
          <w:sz w:val="24"/>
          <w:szCs w:val="24"/>
          <w:lang w:eastAsia="ru-RU"/>
        </w:rPr>
        <w:t xml:space="preserve"> </w:t>
      </w:r>
      <w:r>
        <w:rPr>
          <w:rFonts w:eastAsia="Times New Roman" w:cs="Times New Roman" w:ascii="Times New Roman" w:hAnsi="Times New Roman"/>
          <w:b/>
          <w:bCs/>
          <w:color w:val="000000"/>
          <w:sz w:val="24"/>
          <w:szCs w:val="24"/>
          <w:lang w:eastAsia="ru-RU"/>
        </w:rPr>
        <w:t>рублей</w:t>
      </w:r>
      <w:r>
        <w:rPr>
          <w:rFonts w:eastAsia="Times New Roman" w:cs="Times New Roman" w:ascii="Times New Roman" w:hAnsi="Times New Roman"/>
          <w:bCs/>
          <w:color w:val="000000"/>
          <w:sz w:val="24"/>
          <w:szCs w:val="24"/>
          <w:lang w:eastAsia="ru-RU"/>
        </w:rPr>
        <w:t>.</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10.2. Контракт заключается только после предоставления участником аукциона, с которым заключается контракт обеспечения исполнения контракта. Исполнение контракта может обеспечиваться предоставлением безотзывной банковской гарантией, выданной банком, соответствующей требованием статьи 45</w:t>
      </w:r>
      <w:r>
        <w:rPr/>
        <w:t xml:space="preserve"> </w:t>
      </w:r>
      <w:r>
        <w:rPr>
          <w:rFonts w:eastAsia="Times New Roman" w:cs="Times New Roman" w:ascii="Times New Roman" w:hAnsi="Times New Roman"/>
          <w:bCs/>
          <w:color w:val="000000"/>
          <w:sz w:val="24"/>
          <w:szCs w:val="24"/>
          <w:lang w:eastAsia="ru-RU"/>
        </w:rPr>
        <w:t>Федеральный закон от 05.04.2013 № 44-ФЗ, или денежными средствами.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10.3. В случае, если участником закупки, с которым заключается контракт, является государственное или муниципальное казенное учреждение, обязательства об обеспечении исполнения контракта к такому участнику закупки не применяются.</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 xml:space="preserve">10.4. </w:t>
      </w:r>
      <w:r>
        <w:rPr>
          <w:rFonts w:eastAsia="Times New Roman" w:cs="Times New Roman" w:ascii="Times New Roman" w:hAnsi="Times New Roman"/>
          <w:color w:val="000000"/>
          <w:sz w:val="24"/>
          <w:szCs w:val="24"/>
          <w:lang w:eastAsia="ru-RU"/>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 Срок действия банковской гарантии должен превышать срок действия контракта не менее чем на один месяц.</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10.5. </w:t>
      </w:r>
      <w:r>
        <w:rPr>
          <w:rFonts w:eastAsia="Times New Roman" w:cs="Times New Roman" w:ascii="Times New Roman" w:hAnsi="Times New Roman"/>
          <w:bCs/>
          <w:color w:val="000000"/>
          <w:sz w:val="24"/>
          <w:szCs w:val="24"/>
          <w:lang w:eastAsia="ru-RU"/>
        </w:rPr>
        <w:t xml:space="preserve">Требования к обеспечению исполнения контракта, предоставляемому в виде банковской гарантии, установлены в статье 45 Федеральный закон от 05.04.2013 № 44-ФЗ. </w:t>
      </w:r>
      <w:r>
        <w:rPr>
          <w:rFonts w:eastAsia="Times New Roman" w:cs="Times New Roman" w:ascii="Times New Roman" w:hAnsi="Times New Roman"/>
          <w:color w:val="000000"/>
          <w:sz w:val="24"/>
          <w:szCs w:val="24"/>
          <w:lang w:eastAsia="ru-RU"/>
        </w:rPr>
        <w:t>Банковская гарантия должна быть безотзывной и должна содержать:</w:t>
      </w:r>
    </w:p>
    <w:p>
      <w:pPr>
        <w:pStyle w:val="Normal"/>
        <w:spacing w:lineRule="auto" w:line="240" w:before="0" w:after="60"/>
        <w:ind w:firstLine="540"/>
        <w:jc w:val="both"/>
        <w:rPr/>
      </w:pPr>
      <w:r>
        <w:rPr>
          <w:rFonts w:eastAsia="Times New Roman" w:cs="Times New Roman" w:ascii="Times New Roman" w:hAnsi="Times New Roman"/>
          <w:color w:val="000000"/>
          <w:sz w:val="24"/>
          <w:szCs w:val="24"/>
          <w:lang w:eastAsia="ru-RU"/>
        </w:rPr>
        <w:t xml:space="preserve">10.5.1. Сумму банковской гарантии, подлежащую уплате гарантом заказчику в установленных </w:t>
      </w:r>
      <w:hyperlink r:id="rId5">
        <w:r>
          <w:rPr>
            <w:rStyle w:val="Style15"/>
            <w:rFonts w:eastAsia="Times New Roman" w:cs="Times New Roman" w:ascii="Times New Roman" w:hAnsi="Times New Roman"/>
            <w:color w:val="000000"/>
            <w:sz w:val="24"/>
            <w:szCs w:val="24"/>
            <w:lang w:eastAsia="ru-RU"/>
          </w:rPr>
          <w:t>частью 13 статьи 44</w:t>
        </w:r>
      </w:hyperlink>
      <w:r>
        <w:rPr>
          <w:rFonts w:eastAsia="Times New Roman" w:cs="Times New Roman" w:ascii="Times New Roman" w:hAnsi="Times New Roman"/>
          <w:color w:val="000000"/>
          <w:sz w:val="24"/>
          <w:szCs w:val="24"/>
          <w:lang w:eastAsia="ru-RU"/>
        </w:rPr>
        <w:t xml:space="preserve"> Федерального закона от 05.04.2013 № 44-ФЗ,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r>
          <w:rPr>
            <w:rStyle w:val="Style15"/>
            <w:rFonts w:eastAsia="Times New Roman" w:cs="Times New Roman" w:ascii="Times New Roman" w:hAnsi="Times New Roman"/>
            <w:color w:val="000000"/>
            <w:sz w:val="24"/>
            <w:szCs w:val="24"/>
            <w:lang w:eastAsia="ru-RU"/>
          </w:rPr>
          <w:t>статьей 96</w:t>
        </w:r>
      </w:hyperlink>
      <w:r>
        <w:rPr>
          <w:rFonts w:eastAsia="Times New Roman" w:cs="Times New Roman" w:ascii="Times New Roman" w:hAnsi="Times New Roman"/>
          <w:color w:val="000000"/>
          <w:sz w:val="24"/>
          <w:szCs w:val="24"/>
          <w:lang w:eastAsia="ru-RU"/>
        </w:rPr>
        <w:t xml:space="preserve"> Федерального закона от 05.04.2013 № 44-ФЗ </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Ч.13 ст. 44 Федерального закона от 05.04.2013 № 44-ФЗ определяет, что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уклонение или отказ участника закупки заключить контракт;</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10.5.2. Обязательства принципала, надлежащее исполнение которых обеспечивается банковской гарантией;</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10.5.3. Обязанность гаранта уплатить заказчику неустойку в размере 0,1 процента денежной суммы, подлежащей уплате, за каждый день просрочки;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10.5.5. Срок действия банковской гарантии;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pStyle w:val="Normal"/>
        <w:spacing w:lineRule="auto" w:line="240" w:before="0" w:after="60"/>
        <w:ind w:firstLine="540"/>
        <w:jc w:val="both"/>
        <w:rPr/>
      </w:pPr>
      <w:r>
        <w:rPr>
          <w:rFonts w:eastAsia="Times New Roman" w:cs="Times New Roman" w:ascii="Times New Roman" w:hAnsi="Times New Roman"/>
          <w:bCs/>
          <w:color w:val="000000"/>
          <w:sz w:val="24"/>
          <w:szCs w:val="24"/>
          <w:lang w:eastAsia="ru-RU"/>
        </w:rPr>
        <w:t>10.5.7.</w:t>
      </w:r>
      <w:r>
        <w:rPr>
          <w:rFonts w:eastAsia="Times New Roman" w:cs="Times New Roman" w:ascii="Times New Roman" w:hAnsi="Times New Roman"/>
          <w:color w:val="000000"/>
          <w:sz w:val="24"/>
          <w:szCs w:val="24"/>
          <w:lang w:eastAsia="ru-RU"/>
        </w:rPr>
        <w:t xml:space="preserve"> Установленный Правительством Российской Федерации </w:t>
      </w:r>
      <w:hyperlink r:id="rId7">
        <w:r>
          <w:rPr>
            <w:rStyle w:val="Style15"/>
            <w:rFonts w:eastAsia="Times New Roman" w:cs="Times New Roman" w:ascii="Times New Roman" w:hAnsi="Times New Roman"/>
            <w:color w:val="000000"/>
            <w:sz w:val="24"/>
            <w:szCs w:val="24"/>
            <w:lang w:eastAsia="ru-RU"/>
          </w:rPr>
          <w:t>перечень</w:t>
        </w:r>
      </w:hyperlink>
      <w:r>
        <w:rPr>
          <w:rFonts w:eastAsia="Times New Roman" w:cs="Times New Roman" w:ascii="Times New Roman" w:hAnsi="Times New Roman"/>
          <w:color w:val="000000"/>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расчет суммы, включаемой в требование по банковской гарантии;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color w:val="000000"/>
          <w:sz w:val="24"/>
          <w:szCs w:val="24"/>
          <w:lang w:eastAsia="ru-RU"/>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 </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color w:val="000000"/>
          <w:sz w:val="24"/>
          <w:szCs w:val="24"/>
          <w:lang w:eastAsia="ru-RU"/>
        </w:rPr>
        <w:t xml:space="preserve">10.6. </w:t>
      </w:r>
      <w:r>
        <w:rPr>
          <w:rFonts w:eastAsia="Times New Roman" w:cs="Times New Roman" w:ascii="Times New Roman" w:hAnsi="Times New Roman"/>
          <w:bCs/>
          <w:color w:val="000000"/>
          <w:sz w:val="24"/>
          <w:szCs w:val="24"/>
          <w:lang w:eastAsia="ru-RU"/>
        </w:rPr>
        <w:t>Требования к обеспечению исполнения контракта, предоставляемому в виде денежных средств:</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10.6.1. Платежные реквизиты для обеспечения исполнения контракта (если такая форма обеспечения исполнения контракта применяется  Подрядчиком): </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ИНН 3223005343</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КПП 322301001</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р/с 40302810400013000199</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Отдел  УФК по Брянской области</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(Комитет по управлению муниципальным имуществом  л/с 05273010190) </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Отделение Брянск г.Брянск </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БИК 041501001</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
          <w:bCs/>
          <w:color w:val="000000"/>
          <w:sz w:val="24"/>
          <w:szCs w:val="24"/>
          <w:lang w:eastAsia="ru-RU"/>
        </w:rPr>
        <w:t>В графе «назначение платежа» указывается: обеспечение исполнения муниципального контракта на выполнение работ по  благоустройству дворовой территории: ул. Октябрьская 7 в пгт. Погар, Брянской области</w:t>
      </w:r>
      <w:r>
        <w:rPr>
          <w:rFonts w:eastAsia="Times New Roman" w:cs="Times New Roman" w:ascii="Times New Roman" w:hAnsi="Times New Roman"/>
          <w:bCs/>
          <w:color w:val="000000"/>
          <w:sz w:val="24"/>
          <w:szCs w:val="24"/>
          <w:lang w:eastAsia="ru-RU"/>
        </w:rPr>
        <w:t>.</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color w:val="000000"/>
          <w:sz w:val="24"/>
          <w:szCs w:val="24"/>
          <w:lang w:eastAsia="ru-RU"/>
        </w:rPr>
        <w:t>10.6.2. Д</w:t>
      </w:r>
      <w:r>
        <w:rPr>
          <w:rFonts w:eastAsia="Times New Roman" w:cs="Times New Roman" w:ascii="Times New Roman" w:hAnsi="Times New Roman"/>
          <w:bCs/>
          <w:color w:val="000000"/>
          <w:sz w:val="24"/>
          <w:szCs w:val="24"/>
          <w:lang w:eastAsia="ru-RU"/>
        </w:rPr>
        <w:t>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10.6.3. Денежные средства возвращаются Подрядчику при условии надлежащего исполнения им всех своих обязательств по контракту в течение 10 банковских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 xml:space="preserve">10.7. </w:t>
      </w:r>
      <w:r>
        <w:rPr>
          <w:rFonts w:eastAsia="Times New Roman" w:cs="Times New Roman" w:ascii="Times New Roman" w:hAnsi="Times New Roman"/>
          <w:color w:val="000000"/>
          <w:sz w:val="24"/>
          <w:szCs w:val="24"/>
          <w:lang w:eastAsia="ru-RU"/>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11. АНТИДЕМПЕНГОВЫЕ МЕРЫ</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11.1.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 </w:t>
      </w:r>
    </w:p>
    <w:p>
      <w:pPr>
        <w:pStyle w:val="Normal"/>
        <w:spacing w:lineRule="auto" w:line="240" w:before="0" w:after="60"/>
        <w:ind w:firstLine="540"/>
        <w:jc w:val="both"/>
        <w:rPr>
          <w:rFonts w:ascii="Arial" w:hAnsi="Arial" w:eastAsia="Times New Roman" w:cs="Arial"/>
          <w:sz w:val="20"/>
          <w:szCs w:val="20"/>
          <w:lang w:eastAsia="ru-RU"/>
        </w:rPr>
      </w:pPr>
      <w:r>
        <w:rPr>
          <w:rFonts w:eastAsia="Times New Roman" w:cs="Times New Roman" w:ascii="Times New Roman" w:hAnsi="Times New Roman"/>
          <w:sz w:val="24"/>
          <w:szCs w:val="24"/>
          <w:lang w:eastAsia="ru-RU"/>
        </w:rPr>
        <w:t>11.1.1</w:t>
      </w:r>
      <w:r>
        <w:rPr/>
        <w:t xml:space="preserve">. </w:t>
      </w:r>
      <w:r>
        <w:rPr>
          <w:rFonts w:eastAsia="Times New Roman" w:cs="Times New Roman" w:ascii="Times New Roman" w:hAnsi="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11.2. Обеспечение  предоставляется Подрядчиком, с которым заключается контракт, до его заключения</w:t>
      </w:r>
      <w:r>
        <w:rPr>
          <w:rFonts w:eastAsia="Times New Roman" w:cs="Arial" w:ascii="Arial" w:hAnsi="Arial"/>
          <w:sz w:val="20"/>
          <w:szCs w:val="20"/>
          <w:lang w:eastAsia="ru-RU"/>
        </w:rPr>
        <w:t>.</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11.2.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true"/>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color w:val="000000"/>
          <w:sz w:val="24"/>
          <w:szCs w:val="24"/>
          <w:lang w:eastAsia="ru-RU"/>
        </w:rPr>
        <w:t xml:space="preserve">12.   </w:t>
      </w:r>
      <w:r>
        <w:rPr>
          <w:rFonts w:eastAsia="Times New Roman" w:cs="Times New Roman" w:ascii="Times New Roman" w:hAnsi="Times New Roman"/>
          <w:b/>
          <w:sz w:val="24"/>
          <w:szCs w:val="24"/>
          <w:lang w:eastAsia="ru-RU"/>
        </w:rPr>
        <w:t>ДЕЙСТВИЕ КОНТРАКТА</w:t>
      </w:r>
    </w:p>
    <w:p>
      <w:pPr>
        <w:pStyle w:val="Normal"/>
        <w:widowControl w:val="false"/>
        <w:suppressAutoHyphens w:val="true"/>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color w:val="000000"/>
          <w:sz w:val="24"/>
          <w:szCs w:val="24"/>
          <w:lang w:eastAsia="ru-RU"/>
        </w:rPr>
        <w:t xml:space="preserve">12.1. </w:t>
      </w:r>
      <w:r>
        <w:rPr>
          <w:rFonts w:eastAsia="Times New Roman" w:cs="Times New Roman" w:ascii="Times New Roman" w:hAnsi="Times New Roman"/>
          <w:sz w:val="24"/>
          <w:szCs w:val="24"/>
          <w:lang w:eastAsia="ru-RU"/>
        </w:rPr>
        <w:t>Срок действия Контракта: со дня подписания его обеими сторонами и до 31.12.2017г. Окончание срока действия контракта не влечет прекращения неисполненных обязательств сторон, в том числе гарантийных обязательств подрядчика.</w:t>
      </w:r>
    </w:p>
    <w:p>
      <w:pPr>
        <w:pStyle w:val="Normal"/>
        <w:shd w:val="clear" w:color="auto" w:fill="FFFFFF"/>
        <w:tabs>
          <w:tab w:val="left" w:pos="734" w:leader="none"/>
          <w:tab w:val="left" w:pos="9533" w:leader="underscore"/>
        </w:tabs>
        <w:suppressAutoHyphens w:val="true"/>
        <w:spacing w:lineRule="auto" w:line="240" w:before="0" w:after="0"/>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t xml:space="preserve">12.2. Контракт составлен в двух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pacing w:val="-1"/>
          <w:sz w:val="24"/>
          <w:szCs w:val="24"/>
          <w:lang w:eastAsia="ru-RU"/>
        </w:rPr>
        <w:t>экземплярах, имеющих одинаковую юридическую силу.</w:t>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12.3. Недействительность какого-либо из условий настоящего Контракта не влечет за собой недействительность других условий или всего Контракта в целом.</w:t>
      </w:r>
    </w:p>
    <w:p>
      <w:pPr>
        <w:pStyle w:val="Normal"/>
        <w:spacing w:lineRule="auto" w:line="240" w:before="0" w:after="6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uppressAutoHyphens w:val="true"/>
        <w:spacing w:lineRule="auto" w:line="240" w:before="0" w:after="0"/>
        <w:ind w:left="142" w:hanging="0"/>
        <w:jc w:val="center"/>
        <w:rPr>
          <w:rFonts w:ascii="Times New Roman" w:hAnsi="Times New Roman" w:eastAsia="Times New Roman" w:cs="Times New Roman"/>
          <w:b/>
          <w:b/>
          <w:bCs/>
          <w:lang w:eastAsia="zh-CN"/>
        </w:rPr>
      </w:pPr>
      <w:r>
        <w:rPr>
          <w:rFonts w:eastAsia="Times New Roman" w:cs="Times New Roman" w:ascii="Times New Roman" w:hAnsi="Times New Roman"/>
          <w:b/>
          <w:bCs/>
          <w:sz w:val="24"/>
          <w:szCs w:val="24"/>
          <w:lang w:eastAsia="zh-CN"/>
        </w:rPr>
        <w:t>13. ЮРИДИЧЕСКИЕ АДРЕСА И РЕКВИЗИТЫ СТОРОН.</w:t>
      </w:r>
    </w:p>
    <w:p>
      <w:pPr>
        <w:pStyle w:val="Normal"/>
        <w:rPr/>
      </w:pPr>
      <w:r>
        <w:rPr/>
      </w:r>
    </w:p>
    <w:tbl>
      <w:tblPr>
        <w:tblW w:w="10132" w:type="dxa"/>
        <w:jc w:val="left"/>
        <w:tblInd w:w="109" w:type="dxa"/>
        <w:tblBorders/>
        <w:tblCellMar>
          <w:top w:w="0" w:type="dxa"/>
          <w:left w:w="108" w:type="dxa"/>
          <w:bottom w:w="0" w:type="dxa"/>
          <w:right w:w="108" w:type="dxa"/>
        </w:tblCellMar>
        <w:tblLook w:firstRow="0" w:noVBand="0" w:lastRow="0" w:firstColumn="0" w:lastColumn="0" w:noHBand="0" w:val="0000"/>
      </w:tblPr>
      <w:tblGrid>
        <w:gridCol w:w="4957"/>
        <w:gridCol w:w="5174"/>
      </w:tblGrid>
      <w:tr>
        <w:trPr/>
        <w:tc>
          <w:tcPr>
            <w:tcW w:w="10131" w:type="dxa"/>
            <w:gridSpan w:val="2"/>
            <w:tcBorders/>
            <w:shd w:color="auto" w:fill="auto" w:val="clear"/>
          </w:tcPr>
          <w:p>
            <w:pPr>
              <w:pStyle w:val="Normal"/>
              <w:snapToGrid w:val="false"/>
              <w:spacing w:lineRule="auto" w:line="240" w:before="0" w:after="200"/>
              <w:ind w:left="142" w:hanging="0"/>
              <w:rPr>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Заказчик                                                                  Подрядчик                      </w:t>
            </w:r>
          </w:p>
        </w:tc>
      </w:tr>
      <w:tr>
        <w:trPr/>
        <w:tc>
          <w:tcPr>
            <w:tcW w:w="4957" w:type="dxa"/>
            <w:tcBorders/>
            <w:shd w:color="auto" w:fill="auto" w:val="clear"/>
          </w:tcPr>
          <w:p>
            <w:pPr>
              <w:pStyle w:val="Normal"/>
              <w:spacing w:lineRule="auto" w:line="240" w:before="0" w:after="200"/>
              <w:ind w:left="142" w:hanging="0"/>
              <w:jc w:val="center"/>
              <w:rPr>
                <w:sz w:val="24"/>
                <w:szCs w:val="24"/>
              </w:rPr>
            </w:pPr>
            <w:r>
              <w:rPr>
                <w:rFonts w:cs="Times New Roman" w:ascii="Times New Roman" w:hAnsi="Times New Roman"/>
                <w:b/>
                <w:iCs/>
                <w:sz w:val="24"/>
                <w:szCs w:val="24"/>
              </w:rPr>
              <w:t xml:space="preserve">      </w:t>
            </w:r>
            <w:r>
              <w:rPr>
                <w:rFonts w:cs="Times New Roman" w:ascii="Times New Roman" w:hAnsi="Times New Roman"/>
                <w:b/>
                <w:iCs/>
                <w:sz w:val="24"/>
                <w:szCs w:val="24"/>
              </w:rPr>
              <w:t>Администрация Погарского района</w:t>
            </w:r>
          </w:p>
        </w:tc>
        <w:tc>
          <w:tcPr>
            <w:tcW w:w="5174" w:type="dxa"/>
            <w:tcBorders/>
            <w:shd w:fill="auto" w:val="clear"/>
          </w:tcPr>
          <w:p>
            <w:pPr>
              <w:pStyle w:val="Normal"/>
              <w:spacing w:lineRule="auto" w:line="240" w:before="0" w:after="0"/>
              <w:ind w:left="142"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ООО «Погаравтодорстрой»</w:t>
            </w:r>
          </w:p>
          <w:p>
            <w:pPr>
              <w:pStyle w:val="Normal"/>
              <w:spacing w:lineRule="auto" w:line="240" w:before="0" w:after="0"/>
              <w:ind w:left="14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957" w:type="dxa"/>
            <w:tcBorders/>
            <w:shd w:color="auto" w:fill="auto" w:val="clear"/>
          </w:tcPr>
          <w:p>
            <w:pPr>
              <w:pStyle w:val="Normal"/>
              <w:spacing w:lineRule="auto" w:line="240" w:before="0" w:after="200"/>
              <w:jc w:val="center"/>
              <w:rPr>
                <w:sz w:val="24"/>
                <w:szCs w:val="24"/>
              </w:rPr>
            </w:pPr>
            <w:r>
              <w:rPr>
                <w:rFonts w:cs="Times New Roman" w:ascii="Times New Roman" w:hAnsi="Times New Roman"/>
                <w:b/>
                <w:iCs/>
                <w:sz w:val="24"/>
                <w:szCs w:val="24"/>
              </w:rPr>
              <w:t>Брянской области</w:t>
            </w:r>
          </w:p>
        </w:tc>
        <w:tc>
          <w:tcPr>
            <w:tcW w:w="5174" w:type="dxa"/>
            <w:tcBorders/>
            <w:shd w:fill="auto" w:val="clear"/>
          </w:tcPr>
          <w:p>
            <w:pPr>
              <w:pStyle w:val="Normal"/>
              <w:spacing w:lineRule="auto" w:line="240" w:before="0" w:after="0"/>
              <w:ind w:left="142" w:hanging="0"/>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r>
      <w:tr>
        <w:trPr>
          <w:trHeight w:val="580" w:hRule="atLeast"/>
        </w:trPr>
        <w:tc>
          <w:tcPr>
            <w:tcW w:w="4957" w:type="dxa"/>
            <w:tcBorders/>
            <w:shd w:color="auto" w:fill="auto" w:val="clear"/>
          </w:tcPr>
          <w:p>
            <w:pPr>
              <w:pStyle w:val="Normal"/>
              <w:spacing w:lineRule="atLeast" w:line="240" w:before="0" w:after="0"/>
              <w:ind w:left="142" w:hanging="0"/>
              <w:rPr>
                <w:sz w:val="24"/>
                <w:szCs w:val="24"/>
              </w:rPr>
            </w:pPr>
            <w:r>
              <w:rPr>
                <w:rFonts w:cs="Times New Roman" w:ascii="Times New Roman" w:hAnsi="Times New Roman"/>
                <w:iCs/>
                <w:sz w:val="24"/>
                <w:szCs w:val="24"/>
              </w:rPr>
              <w:t>Юридический адрес: 243550, Брянская область, пгт.  Погар, ул. Ленина,1</w:t>
            </w:r>
          </w:p>
        </w:tc>
        <w:tc>
          <w:tcPr>
            <w:tcW w:w="5174" w:type="dxa"/>
            <w:tcBorders/>
            <w:shd w:fill="auto" w:val="clear"/>
          </w:tcPr>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243550 Брянская обл., пгт.  Погар</w:t>
            </w:r>
          </w:p>
          <w:p>
            <w:pPr>
              <w:pStyle w:val="Normal"/>
              <w:spacing w:lineRule="auto" w:line="240" w:before="0" w:after="0"/>
              <w:ind w:left="52" w:hanging="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ул. Полевая, д.7А</w:t>
            </w:r>
          </w:p>
        </w:tc>
      </w:tr>
      <w:tr>
        <w:trPr>
          <w:trHeight w:val="545" w:hRule="atLeast"/>
        </w:trPr>
        <w:tc>
          <w:tcPr>
            <w:tcW w:w="4957" w:type="dxa"/>
            <w:tcBorders/>
            <w:shd w:color="auto" w:fill="auto" w:val="clear"/>
          </w:tcPr>
          <w:p>
            <w:pPr>
              <w:pStyle w:val="Normal"/>
              <w:spacing w:lineRule="atLeast" w:line="240" w:before="0" w:after="0"/>
              <w:ind w:left="142" w:hanging="0"/>
              <w:rPr>
                <w:rFonts w:ascii="Times New Roman" w:hAnsi="Times New Roman" w:cs="Times New Roman"/>
                <w:iCs/>
                <w:sz w:val="24"/>
                <w:szCs w:val="24"/>
              </w:rPr>
            </w:pPr>
            <w:r>
              <w:rPr>
                <w:rFonts w:cs="Times New Roman" w:ascii="Times New Roman" w:hAnsi="Times New Roman"/>
                <w:iCs/>
                <w:sz w:val="24"/>
                <w:szCs w:val="24"/>
              </w:rPr>
              <w:t>ИНН 3223000955</w:t>
            </w:r>
          </w:p>
          <w:p>
            <w:pPr>
              <w:pStyle w:val="Normal"/>
              <w:spacing w:lineRule="atLeast" w:line="240" w:before="0" w:after="0"/>
              <w:ind w:left="142" w:hanging="0"/>
              <w:rPr>
                <w:rFonts w:ascii="Times New Roman" w:hAnsi="Times New Roman" w:cs="Times New Roman"/>
                <w:iCs/>
                <w:sz w:val="24"/>
                <w:szCs w:val="24"/>
              </w:rPr>
            </w:pPr>
            <w:r>
              <w:rPr>
                <w:rFonts w:cs="Times New Roman" w:ascii="Times New Roman" w:hAnsi="Times New Roman"/>
                <w:iCs/>
                <w:sz w:val="24"/>
                <w:szCs w:val="24"/>
              </w:rPr>
              <w:t>КПП 325201001</w:t>
            </w:r>
          </w:p>
          <w:p>
            <w:pPr>
              <w:pStyle w:val="Normal"/>
              <w:suppressAutoHyphens w:val="true"/>
              <w:spacing w:lineRule="atLeast"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Расч.счет 40204810200000100326                         </w:t>
            </w:r>
          </w:p>
          <w:p>
            <w:pPr>
              <w:pStyle w:val="Normal"/>
              <w:suppressAutoHyphens w:val="true"/>
              <w:spacing w:lineRule="atLeast"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УФК по Брянской области (Администрация Погарского района л/сч 03273203740)</w:t>
            </w:r>
          </w:p>
          <w:p>
            <w:pPr>
              <w:pStyle w:val="Normal"/>
              <w:suppressAutoHyphens w:val="true"/>
              <w:spacing w:lineRule="atLeast"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Отделение Брянск, г. Брянск</w:t>
            </w:r>
          </w:p>
          <w:p>
            <w:pPr>
              <w:pStyle w:val="Normal"/>
              <w:spacing w:lineRule="atLeast" w:line="240" w:before="0" w:after="0"/>
              <w:ind w:left="142" w:hanging="0"/>
              <w:rPr>
                <w:sz w:val="24"/>
                <w:szCs w:val="24"/>
              </w:rPr>
            </w:pPr>
            <w:r>
              <w:rPr>
                <w:rFonts w:eastAsia="Times New Roman" w:cs="Times New Roman" w:ascii="Times New Roman" w:hAnsi="Times New Roman"/>
                <w:sz w:val="24"/>
                <w:szCs w:val="24"/>
                <w:lang w:eastAsia="ar-SA"/>
              </w:rPr>
              <w:t xml:space="preserve">БИК 041501001          </w:t>
            </w:r>
          </w:p>
        </w:tc>
        <w:tc>
          <w:tcPr>
            <w:tcW w:w="5174" w:type="dxa"/>
            <w:tcBorders/>
            <w:shd w:fill="auto" w:val="clear"/>
          </w:tcPr>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ИНН/КПП 3252502438/325201001</w:t>
            </w:r>
          </w:p>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БИК 041501601</w:t>
            </w:r>
          </w:p>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р/c 40702810908000002776 </w:t>
            </w:r>
          </w:p>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Отделение № 8605 Сбербанка России в  г.Брянск   </w:t>
            </w:r>
          </w:p>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2" w:hanging="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 xml:space="preserve">        </w:t>
            </w:r>
          </w:p>
        </w:tc>
      </w:tr>
      <w:tr>
        <w:trPr>
          <w:trHeight w:val="983" w:hRule="atLeast"/>
        </w:trPr>
        <w:tc>
          <w:tcPr>
            <w:tcW w:w="4957" w:type="dxa"/>
            <w:tcBorders/>
            <w:shd w:color="auto" w:fill="auto" w:val="clear"/>
          </w:tcPr>
          <w:p>
            <w:pPr>
              <w:pStyle w:val="Normal"/>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Глава администрации</w:t>
            </w:r>
          </w:p>
          <w:p>
            <w:pPr>
              <w:pStyle w:val="Normal"/>
              <w:suppressAutoHyphens w:val="true"/>
              <w:spacing w:lineRule="auto" w:line="240" w:before="0" w:after="0"/>
              <w:ind w:left="142" w:hanging="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Погарского района</w:t>
            </w:r>
          </w:p>
          <w:p>
            <w:pPr>
              <w:pStyle w:val="Normal"/>
              <w:spacing w:lineRule="auto" w:line="240"/>
              <w:ind w:left="142" w:hanging="0"/>
              <w:rPr>
                <w:sz w:val="24"/>
                <w:szCs w:val="24"/>
              </w:rPr>
            </w:pPr>
            <w:r>
              <w:rPr>
                <w:sz w:val="24"/>
                <w:szCs w:val="24"/>
              </w:rPr>
            </w:r>
          </w:p>
          <w:p>
            <w:pPr>
              <w:pStyle w:val="Normal"/>
              <w:suppressAutoHyphens w:val="true"/>
              <w:spacing w:lineRule="auto"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_________________/С.И.Цыганок/   </w:t>
            </w:r>
          </w:p>
          <w:p>
            <w:pPr>
              <w:pStyle w:val="Normal"/>
              <w:spacing w:lineRule="atLeast" w:line="240" w:before="0" w:after="20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М.П.</w:t>
            </w:r>
          </w:p>
        </w:tc>
        <w:tc>
          <w:tcPr>
            <w:tcW w:w="5174" w:type="dxa"/>
            <w:tcBorders/>
            <w:shd w:fill="auto" w:val="clear"/>
          </w:tcPr>
          <w:p>
            <w:pPr>
              <w:pStyle w:val="Normal"/>
              <w:spacing w:lineRule="auto" w:line="240" w:before="0" w:after="0"/>
              <w:ind w:left="52"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Генеральный директор  ООО</w:t>
            </w:r>
          </w:p>
          <w:p>
            <w:pPr>
              <w:pStyle w:val="Normal"/>
              <w:spacing w:lineRule="auto" w:line="240" w:before="0" w:after="0"/>
              <w:ind w:left="52"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«Погаравтодорстрой»</w:t>
            </w:r>
          </w:p>
          <w:p>
            <w:pPr>
              <w:pStyle w:val="Normal"/>
              <w:spacing w:lineRule="auto" w:line="240" w:before="0" w:after="0"/>
              <w:ind w:left="52"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_________________/C.И.Ласунова/</w:t>
            </w:r>
          </w:p>
          <w:p>
            <w:pPr>
              <w:pStyle w:val="Normal"/>
              <w:spacing w:lineRule="auto" w:line="240" w:before="0" w:after="0"/>
              <w:ind w:left="52" w:hanging="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м.п.</w:t>
            </w:r>
          </w:p>
        </w:tc>
      </w:tr>
      <w:tr>
        <w:trPr>
          <w:trHeight w:val="1795" w:hRule="atLeast"/>
        </w:trPr>
        <w:tc>
          <w:tcPr>
            <w:tcW w:w="10131" w:type="dxa"/>
            <w:gridSpan w:val="2"/>
            <w:tcBorders/>
            <w:shd w:color="auto" w:fill="auto" w:val="clear"/>
          </w:tcPr>
          <w:p>
            <w:pPr>
              <w:pStyle w:val="Normal"/>
              <w:suppressAutoHyphens w:val="true"/>
              <w:spacing w:lineRule="auto" w:line="240" w:before="0" w:after="0"/>
              <w:jc w:val="both"/>
              <w:rPr>
                <w:sz w:val="24"/>
                <w:szCs w:val="24"/>
              </w:rPr>
            </w:pPr>
            <w:r>
              <w:rPr>
                <w:rFonts w:eastAsia="Times New Roman" w:cs="Times New Roman" w:ascii="Times New Roman" w:hAnsi="Times New Roman"/>
                <w:b/>
                <w:sz w:val="24"/>
                <w:szCs w:val="24"/>
                <w:lang w:eastAsia="ar-SA"/>
              </w:rPr>
              <w:t xml:space="preserve">   </w:t>
            </w:r>
          </w:p>
          <w:p>
            <w:pPr>
              <w:pStyle w:val="Normal"/>
              <w:spacing w:lineRule="auto" w:line="240" w:before="0" w:after="200"/>
              <w:ind w:left="142" w:hanging="0"/>
              <w:rPr>
                <w:sz w:val="24"/>
                <w:szCs w:val="24"/>
              </w:rPr>
            </w:pPr>
            <w:r>
              <w:rPr>
                <w:sz w:val="24"/>
                <w:szCs w:val="24"/>
              </w:rPr>
            </w:r>
          </w:p>
        </w:tc>
      </w:tr>
      <w:tr>
        <w:trPr/>
        <w:tc>
          <w:tcPr>
            <w:tcW w:w="10131" w:type="dxa"/>
            <w:gridSpan w:val="2"/>
            <w:tcBorders/>
            <w:shd w:color="auto" w:fill="auto" w:val="clear"/>
          </w:tcPr>
          <w:p>
            <w:pPr>
              <w:pStyle w:val="Normal"/>
              <w:spacing w:lineRule="auto" w:line="240" w:before="0" w:after="200"/>
              <w:ind w:left="142" w:hanging="0"/>
              <w:rPr>
                <w:sz w:val="24"/>
                <w:szCs w:val="24"/>
              </w:rPr>
            </w:pPr>
            <w:r>
              <w:rPr>
                <w:sz w:val="24"/>
                <w:szCs w:val="24"/>
              </w:rPr>
            </w:r>
          </w:p>
        </w:tc>
      </w:tr>
      <w:tr>
        <w:trPr/>
        <w:tc>
          <w:tcPr>
            <w:tcW w:w="10131" w:type="dxa"/>
            <w:gridSpan w:val="2"/>
            <w:tcBorders/>
            <w:shd w:color="auto" w:fill="auto" w:val="clear"/>
          </w:tcPr>
          <w:p>
            <w:pPr>
              <w:pStyle w:val="Normal"/>
              <w:snapToGrid w:val="false"/>
              <w:spacing w:lineRule="auto" w:line="240" w:before="0" w:after="200"/>
              <w:ind w:left="142" w:hanging="0"/>
              <w:rPr>
                <w:highlight w:val="yellow"/>
              </w:rPr>
            </w:pPr>
            <w:r>
              <w:rPr>
                <w:highlight w:val="yellow"/>
              </w:rPr>
            </w:r>
          </w:p>
        </w:tc>
      </w:tr>
      <w:tr>
        <w:trPr/>
        <w:tc>
          <w:tcPr>
            <w:tcW w:w="10131" w:type="dxa"/>
            <w:gridSpan w:val="2"/>
            <w:tcBorders/>
            <w:shd w:color="auto" w:fill="auto" w:val="clear"/>
          </w:tcPr>
          <w:p>
            <w:pPr>
              <w:pStyle w:val="Normal"/>
              <w:snapToGrid w:val="false"/>
              <w:spacing w:lineRule="auto" w:line="240" w:before="0" w:after="200"/>
              <w:ind w:left="142" w:hanging="0"/>
              <w:rPr>
                <w:highlight w:val="yellow"/>
              </w:rPr>
            </w:pPr>
            <w:r>
              <w:rPr>
                <w:highlight w:val="yellow"/>
              </w:rPr>
            </w:r>
          </w:p>
        </w:tc>
      </w:tr>
      <w:tr>
        <w:trPr>
          <w:trHeight w:val="255" w:hRule="atLeast"/>
        </w:trPr>
        <w:tc>
          <w:tcPr>
            <w:tcW w:w="10131" w:type="dxa"/>
            <w:gridSpan w:val="2"/>
            <w:tcBorders/>
            <w:shd w:color="auto" w:fill="auto" w:val="clear"/>
          </w:tcPr>
          <w:p>
            <w:pPr>
              <w:pStyle w:val="Normal"/>
              <w:snapToGrid w:val="false"/>
              <w:spacing w:lineRule="auto" w:line="240" w:before="0" w:after="200"/>
              <w:ind w:left="142" w:hanging="0"/>
              <w:rPr/>
            </w:pPr>
            <w:r>
              <w:rPr/>
            </w:r>
          </w:p>
        </w:tc>
      </w:tr>
    </w:tbl>
    <w:p>
      <w:pPr>
        <w:pStyle w:val="Normal"/>
        <w:rPr/>
      </w:pPr>
      <w:r>
        <w:rPr/>
      </w:r>
    </w:p>
    <w:p>
      <w:pPr>
        <w:pStyle w:val="Normal"/>
        <w:rPr/>
      </w:pPr>
      <w:r>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Приложение №1</w:t>
      </w:r>
    </w:p>
    <w:p>
      <w:pPr>
        <w:pStyle w:val="Normal"/>
        <w:spacing w:lineRule="auto" w:line="240"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к муниципальному контракту</w:t>
      </w:r>
    </w:p>
    <w:p>
      <w:pPr>
        <w:pStyle w:val="Normal"/>
        <w:spacing w:lineRule="auto" w:line="240" w:before="0" w:after="0"/>
        <w:ind w:firstLine="709"/>
        <w:jc w:val="right"/>
        <w:rPr>
          <w:rFonts w:ascii="Verdana" w:hAnsi="Verdana" w:eastAsia="Times New Roman" w:cs="Times New Roman"/>
          <w:color w:val="333333"/>
          <w:sz w:val="17"/>
          <w:szCs w:val="17"/>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0127300011417000030-0107131-01</w:t>
      </w:r>
    </w:p>
    <w:p>
      <w:pPr>
        <w:pStyle w:val="Normal"/>
        <w:spacing w:lineRule="auto" w:line="240"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от «28» августа 2017 г.</w:t>
      </w:r>
    </w:p>
    <w:p>
      <w:pPr>
        <w:pStyle w:val="Normal"/>
        <w:keepNext/>
        <w:numPr>
          <w:ilvl w:val="0"/>
          <w:numId w:val="0"/>
        </w:numPr>
        <w:spacing w:lineRule="auto" w:line="240" w:before="0" w:after="0"/>
        <w:ind w:left="2832" w:firstLine="709"/>
        <w:jc w:val="both"/>
        <w:outlineLvl w:val="3"/>
        <w:rPr>
          <w:rFonts w:ascii="Times New Roman" w:hAnsi="Times New Roman" w:eastAsia="Times New Roman" w:cs="Times New Roman"/>
          <w:b/>
          <w:b/>
          <w:color w:val="000000"/>
          <w:lang w:eastAsia="x-none"/>
        </w:rPr>
      </w:pPr>
      <w:r>
        <w:rPr>
          <w:rFonts w:eastAsia="Times New Roman" w:cs="Times New Roman" w:ascii="Times New Roman" w:hAnsi="Times New Roman"/>
          <w:b/>
          <w:color w:val="000000"/>
          <w:lang w:val="x-none" w:eastAsia="x-none"/>
        </w:rPr>
        <w:t xml:space="preserve">             </w:t>
      </w:r>
    </w:p>
    <w:p>
      <w:pPr>
        <w:pStyle w:val="Normal"/>
        <w:keepNext/>
        <w:numPr>
          <w:ilvl w:val="0"/>
          <w:numId w:val="0"/>
        </w:numPr>
        <w:spacing w:lineRule="auto" w:line="240" w:before="0" w:after="0"/>
        <w:jc w:val="center"/>
        <w:outlineLvl w:val="3"/>
        <w:rPr>
          <w:rFonts w:ascii="Times New Roman" w:hAnsi="Times New Roman" w:eastAsia="Times New Roman" w:cs="Times New Roman"/>
          <w:b/>
          <w:b/>
          <w:bCs/>
          <w:lang w:eastAsia="x-none"/>
        </w:rPr>
      </w:pPr>
      <w:r>
        <w:rPr>
          <w:rFonts w:eastAsia="Times New Roman" w:cs="Times New Roman" w:ascii="Times New Roman" w:hAnsi="Times New Roman"/>
          <w:b/>
          <w:bCs/>
          <w:lang w:val="x-none" w:eastAsia="x-none"/>
        </w:rPr>
        <w:t>ВЕДОМОСТЬ ЦЕНЫ КОНТРАКТА</w:t>
      </w:r>
    </w:p>
    <w:p>
      <w:pPr>
        <w:pStyle w:val="Normal"/>
        <w:keepNext/>
        <w:numPr>
          <w:ilvl w:val="0"/>
          <w:numId w:val="0"/>
        </w:numPr>
        <w:spacing w:lineRule="auto" w:line="240" w:before="0" w:after="0"/>
        <w:ind w:left="2832" w:firstLine="709"/>
        <w:jc w:val="both"/>
        <w:outlineLvl w:val="3"/>
        <w:rPr>
          <w:rFonts w:ascii="Times New Roman" w:hAnsi="Times New Roman" w:eastAsia="Times New Roman" w:cs="Times New Roman"/>
          <w:b/>
          <w:b/>
          <w:bCs/>
          <w:lang w:eastAsia="x-none"/>
        </w:rPr>
      </w:pPr>
      <w:r>
        <w:rPr>
          <w:rFonts w:eastAsia="Times New Roman" w:cs="Times New Roman" w:ascii="Times New Roman" w:hAnsi="Times New Roman"/>
          <w:b/>
          <w:bCs/>
          <w:lang w:eastAsia="x-none"/>
        </w:rPr>
      </w:r>
    </w:p>
    <w:p>
      <w:pPr>
        <w:pStyle w:val="Normal"/>
        <w:tabs>
          <w:tab w:val="left" w:pos="0" w:leader="none"/>
        </w:tabs>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БЛАГОУСТРОЙСТВО ДВОРОВОЙ ТЕРРИТОРИИ: УЛ. ОКТЯБРЬСКАЯ 7.</w:t>
      </w:r>
    </w:p>
    <w:tbl>
      <w:tblPr>
        <w:tblW w:w="985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96"/>
        <w:gridCol w:w="3956"/>
        <w:gridCol w:w="2302"/>
        <w:gridCol w:w="2799"/>
      </w:tblGrid>
      <w:tr>
        <w:trPr>
          <w:trHeight w:val="517"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п/п</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2"/>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Наименование</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Стоимость по ПСД (тыс. руб.)</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Контрактная цена, руб.</w:t>
            </w:r>
          </w:p>
        </w:tc>
      </w:tr>
      <w:tr>
        <w:trPr>
          <w:trHeight w:val="797"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Благоустройство дворовой территории: ул. Октябрьская 7</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743265,00  </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52"/>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706101,75</w:t>
            </w:r>
          </w:p>
        </w:tc>
      </w:tr>
      <w:tr>
        <w:trPr>
          <w:trHeight w:val="450"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2"/>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В т.ч.  НДС 18%</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113379,41</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52"/>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________</w:t>
            </w:r>
          </w:p>
        </w:tc>
      </w:tr>
      <w:tr>
        <w:trPr>
          <w:trHeight w:val="450"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2"/>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Итого</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35"/>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743265,00  </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52"/>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706101,75</w:t>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Цена Контракта определена по результатам электронного аукциона и составляет 706101,75</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(Семьсот шесть тысяч сто один рубль 75 копеек), НДС не облагается.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Стоимость   работ  по Контракту является твердой.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Источник финансирования: Бюджет Погарского городского поселения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средства областного бюджета в форме субсидии– 670796,66 рублей,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КБК 916050302000R5550244</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средства Погарского городского поселения – 35305,09 рублей,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КБК 916050302000L5550244</w:t>
      </w:r>
    </w:p>
    <w:p>
      <w:pPr>
        <w:pStyle w:val="Normal"/>
        <w:spacing w:lineRule="auto" w:line="240" w:before="0" w:after="0"/>
        <w:ind w:firstLine="709"/>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Настоящая ведомость является основанием</w:t>
      </w:r>
      <w:r>
        <w:rPr>
          <w:rFonts w:eastAsia="Times New Roman" w:cs="Times New Roman" w:ascii="Times New Roman" w:hAnsi="Times New Roman"/>
          <w:bCs/>
          <w:sz w:val="24"/>
          <w:szCs w:val="24"/>
          <w:lang w:eastAsia="ru-RU"/>
        </w:rPr>
        <w:t xml:space="preserve"> для проведения взаимных расчетов и платежей между Подрядчиком и Заказчиком.</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p>
    <w:tbl>
      <w:tblPr>
        <w:tblW w:w="9425" w:type="dxa"/>
        <w:jc w:val="left"/>
        <w:tblInd w:w="109" w:type="dxa"/>
        <w:tblBorders/>
        <w:tblCellMar>
          <w:top w:w="0" w:type="dxa"/>
          <w:left w:w="108" w:type="dxa"/>
          <w:bottom w:w="0" w:type="dxa"/>
          <w:right w:w="108" w:type="dxa"/>
        </w:tblCellMar>
        <w:tblLook w:firstRow="0" w:noVBand="0" w:lastRow="0" w:firstColumn="0" w:lastColumn="0" w:noHBand="0" w:val="0000"/>
      </w:tblPr>
      <w:tblGrid>
        <w:gridCol w:w="4610"/>
        <w:gridCol w:w="4814"/>
      </w:tblGrid>
      <w:tr>
        <w:trPr>
          <w:trHeight w:val="367" w:hRule="atLeast"/>
        </w:trPr>
        <w:tc>
          <w:tcPr>
            <w:tcW w:w="9424" w:type="dxa"/>
            <w:gridSpan w:val="2"/>
            <w:tcBorders/>
            <w:shd w:color="auto" w:fill="auto" w:val="clear"/>
          </w:tcPr>
          <w:p>
            <w:pPr>
              <w:pStyle w:val="Normal"/>
              <w:snapToGrid w:val="false"/>
              <w:spacing w:lineRule="auto" w:line="240" w:before="0" w:after="200"/>
              <w:ind w:left="142" w:hanging="0"/>
              <w:rPr>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Заказчик                                                                     Подрядчик                      </w:t>
            </w:r>
          </w:p>
        </w:tc>
      </w:tr>
      <w:tr>
        <w:trPr>
          <w:trHeight w:val="379" w:hRule="atLeast"/>
        </w:trPr>
        <w:tc>
          <w:tcPr>
            <w:tcW w:w="4610" w:type="dxa"/>
            <w:tcBorders/>
            <w:shd w:color="auto" w:fill="auto" w:val="clear"/>
          </w:tcPr>
          <w:p>
            <w:pPr>
              <w:pStyle w:val="Normal"/>
              <w:spacing w:lineRule="auto" w:line="240" w:before="0" w:after="200"/>
              <w:ind w:left="142" w:hanging="0"/>
              <w:jc w:val="center"/>
              <w:rPr>
                <w:sz w:val="24"/>
                <w:szCs w:val="24"/>
              </w:rPr>
            </w:pPr>
            <w:r>
              <w:rPr>
                <w:rFonts w:cs="Times New Roman" w:ascii="Times New Roman" w:hAnsi="Times New Roman"/>
                <w:b/>
                <w:iCs/>
                <w:sz w:val="24"/>
                <w:szCs w:val="24"/>
              </w:rPr>
              <w:t>Администрация Погарского района Брянской области</w:t>
            </w:r>
          </w:p>
        </w:tc>
        <w:tc>
          <w:tcPr>
            <w:tcW w:w="4814" w:type="dxa"/>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ООО «Погаравтодорстрой»</w:t>
            </w:r>
          </w:p>
        </w:tc>
      </w:tr>
      <w:tr>
        <w:trPr>
          <w:trHeight w:val="379" w:hRule="atLeast"/>
        </w:trPr>
        <w:tc>
          <w:tcPr>
            <w:tcW w:w="4610" w:type="dxa"/>
            <w:tcBorders/>
            <w:shd w:color="auto" w:fill="auto" w:val="clear"/>
          </w:tcPr>
          <w:p>
            <w:pPr>
              <w:pStyle w:val="Normal"/>
              <w:spacing w:lineRule="auto" w:line="240" w:before="0" w:after="200"/>
              <w:rPr>
                <w:sz w:val="24"/>
                <w:szCs w:val="24"/>
              </w:rPr>
            </w:pPr>
            <w:r>
              <w:rPr>
                <w:sz w:val="24"/>
                <w:szCs w:val="24"/>
              </w:rPr>
            </w:r>
          </w:p>
        </w:tc>
        <w:tc>
          <w:tcPr>
            <w:tcW w:w="4814" w:type="dxa"/>
            <w:tcBorders/>
            <w:shd w:fill="auto" w:val="clear"/>
          </w:tcPr>
          <w:p>
            <w:pPr>
              <w:pStyle w:val="Normal"/>
              <w:spacing w:lineRule="auto" w:line="240" w:before="0" w:after="0"/>
              <w:ind w:left="14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r>
        <w:trPr>
          <w:trHeight w:val="458" w:hRule="atLeast"/>
        </w:trPr>
        <w:tc>
          <w:tcPr>
            <w:tcW w:w="4610" w:type="dxa"/>
            <w:tcBorders/>
            <w:shd w:color="auto" w:fill="auto" w:val="clear"/>
          </w:tcPr>
          <w:p>
            <w:pPr>
              <w:pStyle w:val="Normal"/>
              <w:spacing w:lineRule="atLeast" w:line="240" w:before="0" w:after="0"/>
              <w:ind w:left="142" w:hanging="0"/>
              <w:rPr>
                <w:rFonts w:ascii="Times New Roman" w:hAnsi="Times New Roman" w:cs="Times New Roman"/>
                <w:iCs/>
                <w:sz w:val="24"/>
                <w:szCs w:val="24"/>
              </w:rPr>
            </w:pPr>
            <w:r>
              <w:rPr>
                <w:rFonts w:cs="Times New Roman" w:ascii="Times New Roman" w:hAnsi="Times New Roman"/>
                <w:iCs/>
                <w:sz w:val="24"/>
                <w:szCs w:val="24"/>
              </w:rPr>
              <w:t>Юридический адрес: 243550, Брянская       область, пгт.  Погар, ул. Ленина,1</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ИНН 3223000955</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КПП 325201001</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 xml:space="preserve">Расч.счет 40204810200000100326                         </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УФК по Брянской области (Администрация Погарского района л/сч 03273203740)</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Отделение Брянск</w:t>
            </w:r>
            <w:r>
              <w:rPr>
                <w:sz w:val="24"/>
                <w:szCs w:val="24"/>
              </w:rPr>
              <w:t xml:space="preserve">, </w:t>
            </w:r>
            <w:r>
              <w:rPr>
                <w:rFonts w:cs="Times New Roman" w:ascii="Times New Roman" w:hAnsi="Times New Roman"/>
                <w:sz w:val="24"/>
                <w:szCs w:val="24"/>
              </w:rPr>
              <w:t>г. Брянск</w:t>
            </w:r>
          </w:p>
          <w:p>
            <w:pPr>
              <w:pStyle w:val="Normal"/>
              <w:spacing w:lineRule="atLeast" w:line="240" w:before="0" w:after="0"/>
              <w:ind w:left="142" w:hanging="0"/>
              <w:rPr>
                <w:rFonts w:ascii="Times New Roman" w:hAnsi="Times New Roman" w:cs="Times New Roman"/>
                <w:sz w:val="24"/>
                <w:szCs w:val="24"/>
              </w:rPr>
            </w:pPr>
            <w:r>
              <w:rPr>
                <w:rFonts w:cs="Times New Roman" w:ascii="Times New Roman" w:hAnsi="Times New Roman"/>
                <w:sz w:val="24"/>
                <w:szCs w:val="24"/>
              </w:rPr>
              <w:t xml:space="preserve">БИК 041501001          </w:t>
            </w:r>
          </w:p>
        </w:tc>
        <w:tc>
          <w:tcPr>
            <w:tcW w:w="4814"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243550 Брянская обл., пгт.  Погар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 Полевая, д.7А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ИНН/КПП 3252502438/325201001</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БИК 041501601</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bookmarkStart w:id="4" w:name="_GoBack"/>
            <w:bookmarkEnd w:id="4"/>
            <w:r>
              <w:rPr>
                <w:rFonts w:eastAsia="Times New Roman" w:cs="Times New Roman" w:ascii="Times New Roman" w:hAnsi="Times New Roman"/>
                <w:sz w:val="24"/>
                <w:szCs w:val="24"/>
                <w:lang w:eastAsia="ru-RU"/>
              </w:rPr>
              <w:t>р/c 40702810908000002776</w:t>
            </w:r>
          </w:p>
          <w:p>
            <w:pPr>
              <w:pStyle w:val="Normal"/>
              <w:spacing w:lineRule="auto" w:line="240" w:before="0" w:after="0"/>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 xml:space="preserve">Отделение № 8605 Сбербанка России в  г.Брянск                </w:t>
            </w:r>
          </w:p>
        </w:tc>
      </w:tr>
      <w:tr>
        <w:trPr>
          <w:trHeight w:val="430" w:hRule="atLeast"/>
        </w:trPr>
        <w:tc>
          <w:tcPr>
            <w:tcW w:w="4610" w:type="dxa"/>
            <w:tcBorders/>
            <w:shd w:color="auto" w:fill="auto" w:val="clear"/>
          </w:tcPr>
          <w:p>
            <w:pPr>
              <w:pStyle w:val="Normal"/>
              <w:spacing w:lineRule="atLeast" w:line="240" w:before="0" w:after="0"/>
              <w:rPr>
                <w:sz w:val="24"/>
                <w:szCs w:val="24"/>
              </w:rPr>
            </w:pPr>
            <w:r>
              <w:rPr>
                <w:sz w:val="24"/>
                <w:szCs w:val="24"/>
              </w:rPr>
            </w:r>
          </w:p>
        </w:tc>
        <w:tc>
          <w:tcPr>
            <w:tcW w:w="4814" w:type="dxa"/>
            <w:tcBorders/>
            <w:shd w:fill="auto" w:val="clear"/>
          </w:tcPr>
          <w:p>
            <w:pPr>
              <w:pStyle w:val="Normal"/>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r>
      <w:tr>
        <w:trPr>
          <w:trHeight w:val="1416" w:hRule="atLeast"/>
        </w:trPr>
        <w:tc>
          <w:tcPr>
            <w:tcW w:w="4610" w:type="dxa"/>
            <w:tcBorders/>
            <w:shd w:color="auto" w:fill="auto" w:val="clear"/>
          </w:tcPr>
          <w:p>
            <w:pPr>
              <w:pStyle w:val="Normal"/>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b/>
                <w:sz w:val="24"/>
                <w:szCs w:val="24"/>
                <w:lang w:eastAsia="ar-SA"/>
              </w:rPr>
              <w:t>Глава администрации</w:t>
            </w:r>
          </w:p>
          <w:p>
            <w:pPr>
              <w:pStyle w:val="Normal"/>
              <w:suppressAutoHyphens w:val="true"/>
              <w:spacing w:lineRule="auto" w:line="240" w:before="0" w:after="0"/>
              <w:ind w:left="142" w:hanging="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Погарского района</w:t>
            </w:r>
          </w:p>
          <w:p>
            <w:pPr>
              <w:pStyle w:val="Normal"/>
              <w:spacing w:lineRule="auto" w:line="240"/>
              <w:ind w:left="142" w:hanging="0"/>
              <w:rPr>
                <w:sz w:val="24"/>
                <w:szCs w:val="24"/>
              </w:rPr>
            </w:pPr>
            <w:r>
              <w:rPr>
                <w:sz w:val="24"/>
                <w:szCs w:val="24"/>
              </w:rPr>
            </w:r>
          </w:p>
          <w:p>
            <w:pPr>
              <w:pStyle w:val="Normal"/>
              <w:suppressAutoHyphens w:val="true"/>
              <w:spacing w:lineRule="auto"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_________________/С.И.Цыганок/   </w:t>
            </w:r>
          </w:p>
          <w:p>
            <w:pPr>
              <w:pStyle w:val="Normal"/>
              <w:spacing w:lineRule="auto" w:line="240" w:before="0" w:after="200"/>
              <w:ind w:left="142" w:hanging="0"/>
              <w:rPr>
                <w:sz w:val="24"/>
                <w:szCs w:val="24"/>
              </w:rPr>
            </w:pPr>
            <w:r>
              <w:rPr>
                <w:rFonts w:eastAsia="Times New Roman" w:cs="Times New Roman" w:ascii="Times New Roman" w:hAnsi="Times New Roman"/>
                <w:sz w:val="24"/>
                <w:szCs w:val="24"/>
                <w:lang w:eastAsia="ar-SA"/>
              </w:rPr>
              <w:t>М.П.</w:t>
            </w:r>
          </w:p>
        </w:tc>
        <w:tc>
          <w:tcPr>
            <w:tcW w:w="4814" w:type="dxa"/>
            <w:tcBorders/>
            <w:shd w:fill="auto" w:val="clear"/>
          </w:tcPr>
          <w:p>
            <w:pPr>
              <w:pStyle w:val="Normal"/>
              <w:spacing w:lineRule="auto" w:line="240" w:before="0" w:after="0"/>
              <w:ind w:left="52"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Генеральный директор  ООО</w:t>
            </w:r>
          </w:p>
          <w:p>
            <w:pPr>
              <w:pStyle w:val="Normal"/>
              <w:spacing w:lineRule="auto" w:line="240" w:before="0" w:after="0"/>
              <w:ind w:left="52"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«Погаравтодорстрой»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_________________/C.И.Ласунова/</w:t>
            </w:r>
          </w:p>
          <w:p>
            <w:pPr>
              <w:pStyle w:val="Normal"/>
              <w:spacing w:lineRule="auto" w:line="240" w:before="0" w:after="0"/>
              <w:ind w:left="52" w:hanging="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м.п.</w:t>
            </w:r>
          </w:p>
        </w:tc>
      </w:tr>
      <w:tr>
        <w:trPr>
          <w:trHeight w:val="776" w:hRule="atLeast"/>
        </w:trPr>
        <w:tc>
          <w:tcPr>
            <w:tcW w:w="4610" w:type="dxa"/>
            <w:tcBorders/>
            <w:shd w:color="auto" w:fill="auto" w:val="clear"/>
          </w:tcPr>
          <w:p>
            <w:pPr>
              <w:pStyle w:val="Normal"/>
              <w:spacing w:lineRule="atLeast" w:line="240" w:before="0" w:after="200"/>
              <w:rPr>
                <w:sz w:val="24"/>
                <w:szCs w:val="24"/>
              </w:rPr>
            </w:pPr>
            <w:r>
              <w:rPr>
                <w:sz w:val="24"/>
                <w:szCs w:val="24"/>
              </w:rPr>
            </w:r>
          </w:p>
        </w:tc>
        <w:tc>
          <w:tcPr>
            <w:tcW w:w="4814" w:type="dxa"/>
            <w:tcBorders/>
            <w:shd w:fill="auto" w:val="clear"/>
          </w:tcPr>
          <w:p>
            <w:pPr>
              <w:pStyle w:val="Normal"/>
              <w:spacing w:lineRule="auto" w:line="240" w:before="0" w:after="0"/>
              <w:ind w:left="52" w:hanging="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r>
    </w:tbl>
    <w:p>
      <w:pPr>
        <w:pStyle w:val="Normal"/>
        <w:widowControl/>
        <w:bidi w:val="0"/>
        <w:spacing w:lineRule="auto" w:line="276" w:before="0" w:after="200"/>
        <w:jc w:val="left"/>
        <w:rPr/>
      </w:pPr>
      <w:r>
        <w:rPr/>
      </w:r>
    </w:p>
    <w:sectPr>
      <w:type w:val="nextPage"/>
      <w:pgSz w:w="11906" w:h="16838"/>
      <w:pgMar w:left="1418" w:right="850" w:header="0" w:top="709"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d410e1"/>
    <w:rPr>
      <w:rFonts w:ascii="Tahoma" w:hAnsi="Tahoma" w:cs="Tahoma"/>
      <w:sz w:val="16"/>
      <w:szCs w:val="16"/>
    </w:rPr>
  </w:style>
  <w:style w:type="character" w:styleId="ListLabel1">
    <w:name w:val="ListLabel 1"/>
    <w:qFormat/>
    <w:rPr>
      <w:sz w:val="24"/>
      <w:szCs w:val="24"/>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d410e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yperlink" Target="consultantplus://offline/ref=39E0E7362A45C4433E4F1BD00F3EDC3DC7793FE518144C037FB7CA6DB85351E9BFB17B722DDCB164k5IEI" TargetMode="External"/><Relationship Id="rId6" Type="http://schemas.openxmlformats.org/officeDocument/2006/relationships/hyperlink" Target="consultantplus://offline/ref=39E0E7362A45C4433E4F1BD00F3EDC3DC7793FE518144C037FB7CA6DB85351E9BFB17B722DDDB762k5I3I" TargetMode="External"/><Relationship Id="rId7" Type="http://schemas.openxmlformats.org/officeDocument/2006/relationships/hyperlink" Target="consultantplus://offline/ref=39E0E7362A45C4433E4F1BD00F3EDC3DC7793CE61C174C037FB7CA6DB85351E9BFB17B722DDCB467k5IEI"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Application>LibreOffice/5.1.3.2$Windows_x86 LibreOffice_project/644e4637d1d8544fd9f56425bd6cec110e49301b</Application>
  <Pages>12</Pages>
  <Words>4718</Words>
  <Characters>33443</Characters>
  <CharactersWithSpaces>38492</CharactersWithSpaces>
  <Paragraphs>248</Paragraphs>
  <Company>Администрация Погарского района Брянской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2017-07-26T06:00:00Z</dcterms:created>
  <dc:creator>Верховинина Татьяна Викторовна</dc:creator>
  <dc:description/>
  <dc:language>ru-RU</dc:language>
  <cp:lastModifiedBy/>
  <cp:lastPrinted>2017-08-31T11:33:00Z</cp:lastPrinted>
  <dcterms:modified xsi:type="dcterms:W3CDTF">2018-09-14T15:43:34Z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Погарского района Брянской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