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17" w:rsidRDefault="00E73017" w:rsidP="00E7301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ПОЯСНИТЕЛЬНАЯ ЗАПИСКА К ОТЧЕТУ ОБ ИСПОЛНЕНИИ БЮДЖЕТА </w:t>
      </w: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ПОГАРСКОГО ГОРОДСКОГО ПОСЕЛЕНИЯ </w:t>
      </w:r>
    </w:p>
    <w:p w:rsidR="00E73017" w:rsidRDefault="00E73017" w:rsidP="00E7301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>ЗА 201</w:t>
      </w: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>5</w:t>
      </w: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ГОД</w:t>
      </w:r>
    </w:p>
    <w:p w:rsidR="00E73017" w:rsidRDefault="00E73017" w:rsidP="00E7301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</w:p>
    <w:p w:rsidR="00E73017" w:rsidRPr="003C3321" w:rsidRDefault="00E73017" w:rsidP="00E73017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итоги испол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нения 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Погарского городского поселения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73017" w:rsidRPr="003C3321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Погарского городского поселения 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с:</w:t>
      </w:r>
    </w:p>
    <w:p w:rsidR="00E73017" w:rsidRPr="003C3321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Решением Совета народных депутатов поселка Погар от 29.12.2014 года №3-26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73017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Погарского городского поселения на 2015 год и на плановый период 2016 и 2017 годов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» (с учетом внесенных изменений и дополнений);</w:t>
      </w:r>
    </w:p>
    <w:p w:rsidR="00E73017" w:rsidRPr="003C3321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нормативными правовыми актами, принятыми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вышеуказанного решения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73017" w:rsidRPr="003C3321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сводной бюджетной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росписью бюджета Погарского городского поселения на 2015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E73017" w:rsidRPr="003C3321" w:rsidRDefault="00D81856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73017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характеристики 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Погарского городского поселения</w:t>
      </w:r>
      <w:r w:rsidR="00E73017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73017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утверждены:</w:t>
      </w:r>
    </w:p>
    <w:p w:rsidR="00E73017" w:rsidRPr="00E573A5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доходам </w:t>
      </w:r>
      <w:r w:rsidRPr="00E57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573A5" w:rsidRPr="00E573A5">
        <w:rPr>
          <w:rFonts w:ascii="Times New Roman" w:hAnsi="Times New Roman" w:cs="Times New Roman"/>
          <w:sz w:val="28"/>
          <w:szCs w:val="24"/>
        </w:rPr>
        <w:t>28 205 440</w:t>
      </w:r>
      <w:r w:rsidRPr="00E57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E73017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расходам – </w:t>
      </w:r>
      <w:r w:rsidR="00E573A5" w:rsidRPr="00E573A5">
        <w:rPr>
          <w:rFonts w:ascii="Times New Roman" w:hAnsi="Times New Roman" w:cs="Times New Roman"/>
          <w:sz w:val="28"/>
          <w:szCs w:val="24"/>
        </w:rPr>
        <w:t>28 205 440</w:t>
      </w:r>
      <w:r w:rsidRPr="00E573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3339" w:rsidRPr="003C3321" w:rsidRDefault="00303339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2995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</w:t>
      </w:r>
      <w:r>
        <w:rPr>
          <w:rFonts w:ascii="Times New Roman" w:hAnsi="Times New Roman" w:cs="Times New Roman"/>
          <w:sz w:val="28"/>
          <w:szCs w:val="28"/>
        </w:rPr>
        <w:t xml:space="preserve"> Погарского городского поселения на 1 января 2016 </w:t>
      </w:r>
      <w:r w:rsidRPr="0055299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 тыс. рублей.</w:t>
      </w:r>
    </w:p>
    <w:p w:rsidR="00E73017" w:rsidRPr="003C3321" w:rsidRDefault="00E73017" w:rsidP="00E73017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</w:t>
      </w:r>
      <w:r w:rsidR="0086581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65819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показателей</w:t>
      </w:r>
      <w:r w:rsidR="008658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конец года по сравнению с первоначально утвержденными данными сложилось следующим образом:</w:t>
      </w:r>
    </w:p>
    <w:p w:rsidR="00B376E5" w:rsidRPr="003B746E" w:rsidRDefault="00E73017" w:rsidP="00B376E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доходам: </w:t>
      </w:r>
      <w:r w:rsidR="00B376E5" w:rsidRPr="003B746E">
        <w:rPr>
          <w:rFonts w:ascii="Times New Roman" w:hAnsi="Times New Roman" w:cs="Times New Roman"/>
          <w:sz w:val="28"/>
          <w:szCs w:val="28"/>
        </w:rPr>
        <w:t xml:space="preserve">Утверждённые бюджетные назначения </w:t>
      </w:r>
      <w:r w:rsidR="00B376E5">
        <w:rPr>
          <w:rFonts w:ascii="Times New Roman" w:hAnsi="Times New Roman" w:cs="Times New Roman"/>
          <w:sz w:val="28"/>
          <w:szCs w:val="28"/>
        </w:rPr>
        <w:t>составили 29 900 000</w:t>
      </w:r>
      <w:r w:rsidR="00B376E5" w:rsidRPr="003B746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B376E5">
        <w:rPr>
          <w:rFonts w:ascii="Times New Roman" w:hAnsi="Times New Roman" w:cs="Times New Roman"/>
          <w:sz w:val="28"/>
          <w:szCs w:val="28"/>
        </w:rPr>
        <w:t>исполнено в 2015 году</w:t>
      </w:r>
      <w:r w:rsidR="00B376E5" w:rsidRPr="003B746E">
        <w:rPr>
          <w:rFonts w:ascii="Times New Roman" w:hAnsi="Times New Roman" w:cs="Times New Roman"/>
          <w:sz w:val="28"/>
          <w:szCs w:val="28"/>
        </w:rPr>
        <w:t xml:space="preserve"> </w:t>
      </w:r>
      <w:r w:rsidR="00B376E5">
        <w:rPr>
          <w:rFonts w:ascii="Times New Roman" w:hAnsi="Times New Roman" w:cs="Times New Roman"/>
          <w:sz w:val="28"/>
          <w:szCs w:val="28"/>
        </w:rPr>
        <w:t xml:space="preserve">30 069 225,83 </w:t>
      </w:r>
      <w:r w:rsidR="00B376E5" w:rsidRPr="003B746E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B376E5" w:rsidRPr="003B746E" w:rsidRDefault="00B376E5" w:rsidP="00B376E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собственные доходы 22 918 169,83</w:t>
      </w:r>
      <w:r w:rsidRPr="003B74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76E5" w:rsidRPr="003B746E" w:rsidRDefault="00B376E5" w:rsidP="00B376E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6E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е поступления 7 151 056,00</w:t>
      </w:r>
      <w:r w:rsidRPr="003B746E">
        <w:rPr>
          <w:rFonts w:ascii="Times New Roman" w:hAnsi="Times New Roman" w:cs="Times New Roman"/>
          <w:sz w:val="28"/>
          <w:szCs w:val="28"/>
        </w:rPr>
        <w:t xml:space="preserve"> руб.</w:t>
      </w:r>
      <w:r w:rsidR="009249E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376E5" w:rsidRDefault="00B376E5" w:rsidP="009249EC">
      <w:pPr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– 702 000,00 руб.</w:t>
      </w:r>
    </w:p>
    <w:p w:rsidR="00B376E5" w:rsidRPr="003B746E" w:rsidRDefault="00B376E5" w:rsidP="009249EC">
      <w:pPr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– 6 408 311,00 руб.</w:t>
      </w:r>
    </w:p>
    <w:p w:rsidR="00B376E5" w:rsidRPr="003B746E" w:rsidRDefault="00B376E5" w:rsidP="009249EC">
      <w:pPr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–</w:t>
      </w:r>
      <w:r w:rsidRPr="003B7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40 745,00 </w:t>
      </w:r>
      <w:r w:rsidRPr="003B746E">
        <w:rPr>
          <w:rFonts w:ascii="Times New Roman" w:hAnsi="Times New Roman" w:cs="Times New Roman"/>
          <w:sz w:val="28"/>
          <w:szCs w:val="28"/>
        </w:rPr>
        <w:t>руб.</w:t>
      </w:r>
    </w:p>
    <w:p w:rsidR="009249EC" w:rsidRPr="009249EC" w:rsidRDefault="00E73017" w:rsidP="009249EC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</w:t>
      </w:r>
      <w:r w:rsid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49EC" w:rsidRP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Утверждённые бюджетные назначения состав</w:t>
      </w:r>
      <w:r w:rsid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249EC" w:rsidRP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249EC" w:rsidRP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30 782 900,83 руб., исполнено в 2015 году 29 680 695,69 рублей.</w:t>
      </w:r>
    </w:p>
    <w:p w:rsidR="00E73017" w:rsidRPr="003C3321" w:rsidRDefault="009249EC" w:rsidP="009249EC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9E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исполнения бюджета за 2015 год: профицит в сумме 388 530,14 руб.</w:t>
      </w:r>
    </w:p>
    <w:p w:rsidR="00E73017" w:rsidRPr="003C3321" w:rsidRDefault="00E73017" w:rsidP="00E7301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</w:p>
    <w:p w:rsidR="00CD2CC5" w:rsidRPr="00CD2CC5" w:rsidRDefault="00CD2CC5" w:rsidP="00CD2CC5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Доходы бюджета Погарского городского поселения</w:t>
      </w:r>
    </w:p>
    <w:p w:rsidR="00150A31" w:rsidRDefault="0099050B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поселения исполнена в объеме </w:t>
      </w:r>
      <w:r w:rsidR="004345F3">
        <w:rPr>
          <w:rFonts w:ascii="Times New Roman" w:eastAsia="Times New Roman" w:hAnsi="Times New Roman" w:cs="Times New Roman"/>
          <w:sz w:val="28"/>
          <w:szCs w:val="28"/>
          <w:lang w:eastAsia="ru-RU"/>
        </w:rPr>
        <w:t>30 069,2 тыс. рублей, или 100,6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</w:t>
      </w:r>
      <w:r w:rsidR="001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назначениям.</w:t>
      </w:r>
    </w:p>
    <w:p w:rsidR="0099050B" w:rsidRPr="00366BBA" w:rsidRDefault="0099050B" w:rsidP="009905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</w:t>
      </w:r>
      <w:r w:rsidR="0043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поселения на 2015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Федерации».</w:t>
      </w:r>
    </w:p>
    <w:p w:rsidR="0099050B" w:rsidRDefault="00150A31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99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Погарск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поселения за 2015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DA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доходам </w:t>
      </w:r>
      <w:r w:rsidR="00DA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30 069,2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ыс. руб., </w:t>
      </w:r>
      <w:r w:rsidR="00DA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100,6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уточненным плановым назначени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ям. К </w:t>
      </w:r>
      <w:r w:rsidR="000A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2014</w:t>
      </w:r>
      <w:r w:rsidR="0043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B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исполнены на 9</w:t>
      </w:r>
      <w:r w:rsidR="0028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99050B" w:rsidRPr="003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99050B" w:rsidRPr="00366BBA" w:rsidRDefault="00BE7C71" w:rsidP="00BE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9826" w:dyaOrig="9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478.5pt" o:ole="">
            <v:imagedata r:id="rId8" o:title=""/>
          </v:shape>
          <o:OLEObject Type="Embed" ProgID="Excel.Sheet.12" ShapeID="_x0000_i1025" DrawAspect="Content" ObjectID="_1527679440" r:id="rId9"/>
        </w:object>
      </w:r>
      <w:r w:rsidR="0099050B"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поселения наибольшую долю состав</w:t>
      </w:r>
      <w:r w:rsidR="00EE7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9050B"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 доходы – 69,1</w:t>
      </w:r>
      <w:r w:rsidR="009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EE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23,8</w:t>
      </w:r>
      <w:r w:rsidR="0099050B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долю нен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платежей приходится 7,1</w:t>
      </w:r>
      <w:r w:rsidR="0099050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6D2" w:rsidRDefault="00BE66D2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поселения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олнены в объеме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22 918,0 тыс. рублей, или 100,8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утвержденным плановым назначениям.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2014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без учета безвозмездны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поступлений исполнены на 8</w:t>
      </w:r>
      <w:r w:rsidR="00286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D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BE66D2" w:rsidRDefault="00BE66D2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оговым доходам исполнен на 1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00,8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доходам на 100,7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BE66D2" w:rsidRDefault="00BE66D2" w:rsidP="009905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формирования налоговых доходов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лись: налог на доходы физических лиц – 9 519,1 тыс. рублей, или 31,7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объёма доходов,</w:t>
      </w:r>
      <w:r w:rsidRPr="002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8 509,1 тыс. рублей, или 28,3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акцизов на ГСМ поступило 1 631,6 тыс. рублей или 5,4% от общего объёма доходов, налога на имущество физических лиц – 1 112,1 тыс. рублей или 3,7%.</w:t>
      </w:r>
    </w:p>
    <w:p w:rsidR="00BE66D2" w:rsidRDefault="00BE66D2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исполнение доходной части бюджета по неналоговым доходам обеспечено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поступлениями доходов от арендной платы за землю, доходов от продажи земельных участков, доходов от сдачи в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имущества. Всего за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бюджет Погарского городского поселения ненало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доходов поступило 2 132,6 тыс. рублей, что выше на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арендная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землю составила 1 972,5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доходы от с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в аренду имущества - 49,5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доходы от продажи земельных участков – </w:t>
      </w:r>
      <w:r w:rsidR="00F954EE">
        <w:rPr>
          <w:rFonts w:ascii="Times New Roman" w:eastAsia="Times New Roman" w:hAnsi="Times New Roman" w:cs="Times New Roman"/>
          <w:sz w:val="28"/>
          <w:szCs w:val="28"/>
          <w:lang w:eastAsia="ru-RU"/>
        </w:rPr>
        <w:t>110,6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6D2" w:rsidRDefault="00BE66D2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</w:t>
      </w:r>
      <w:r w:rsidR="00F41CCE"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 w:rsidR="00BB12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7 164,5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объеме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7 151,1 тыс. рублей или 99,8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BE66D2" w:rsidRDefault="00BE66D2" w:rsidP="0099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99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дотаций приходится 9,8%, доля субсидий составляет 89,6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субвенций составляет</w:t>
      </w:r>
      <w:r w:rsidR="007A1A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A97" w:rsidRDefault="007A1A97" w:rsidP="007A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97" w:rsidRPr="00F16A99" w:rsidRDefault="00F16A99" w:rsidP="00F16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Расходы бюджета Погарского городского поселения</w:t>
      </w:r>
    </w:p>
    <w:p w:rsidR="007A1A97" w:rsidRDefault="007A1A97" w:rsidP="007A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366BBA" w:rsidRDefault="0099050B" w:rsidP="0099050B">
      <w:pPr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Погарск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за 2015 год исполнена в объеме 29 680,7 тыс. рублей, или 96,4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утвержденным 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A2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назначениям и на 101,9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2014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5B9F" w:rsidRDefault="00A75B9F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</w:t>
      </w:r>
      <w:r w:rsidR="005B3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лненных назначений составил 1 102,2</w:t>
      </w:r>
      <w:r w:rsidRPr="00A5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9050B" w:rsidRPr="00366BBA" w:rsidRDefault="0099050B" w:rsidP="0099050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817"/>
        <w:gridCol w:w="2580"/>
        <w:gridCol w:w="1238"/>
        <w:gridCol w:w="1378"/>
        <w:gridCol w:w="1239"/>
        <w:gridCol w:w="1236"/>
        <w:gridCol w:w="1365"/>
      </w:tblGrid>
      <w:tr w:rsidR="008D2846" w:rsidRPr="007F7F99" w:rsidTr="007F7F99">
        <w:trPr>
          <w:trHeight w:val="20"/>
        </w:trPr>
        <w:tc>
          <w:tcPr>
            <w:tcW w:w="817" w:type="dxa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580" w:type="dxa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Наименование раздела функциональной классификации расходов</w:t>
            </w:r>
          </w:p>
        </w:tc>
        <w:tc>
          <w:tcPr>
            <w:tcW w:w="0" w:type="auto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Исполнено за 2014 год, тыс. руб.</w:t>
            </w:r>
          </w:p>
        </w:tc>
        <w:tc>
          <w:tcPr>
            <w:tcW w:w="0" w:type="auto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Утверждено на 2015 год,</w:t>
            </w:r>
            <w:r w:rsidRPr="007F7F99">
              <w:rPr>
                <w:b/>
              </w:rPr>
              <w:t xml:space="preserve"> тыс. рублей</w:t>
            </w:r>
            <w:r w:rsidRPr="007F7F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Исполнено за 2015 год,</w:t>
            </w:r>
            <w:r w:rsidRPr="007F7F99">
              <w:rPr>
                <w:b/>
              </w:rPr>
              <w:t xml:space="preserve"> тыс. рублей</w:t>
            </w:r>
            <w:r w:rsidRPr="007F7F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Исполнено за 2015 год, %</w:t>
            </w:r>
          </w:p>
        </w:tc>
        <w:tc>
          <w:tcPr>
            <w:tcW w:w="1365" w:type="dxa"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Исполнение 2015 года к 2014 году, %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 w:rsidRPr="00366BB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3 500,8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8D2846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0" w:type="auto"/>
            <w:vAlign w:val="center"/>
          </w:tcPr>
          <w:p w:rsidR="008D2846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8D2846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 w:rsidRPr="00366BB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7 306,9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14 961,9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14 690,1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5" w:type="dxa"/>
            <w:vAlign w:val="center"/>
          </w:tcPr>
          <w:p w:rsidR="008D2846" w:rsidRPr="00366BBA" w:rsidRDefault="006F672A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8D2846">
              <w:rPr>
                <w:sz w:val="24"/>
                <w:szCs w:val="24"/>
              </w:rPr>
              <w:t>2,0 раза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 w:rsidRPr="00366BB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4 391,4</w:t>
            </w:r>
          </w:p>
        </w:tc>
        <w:tc>
          <w:tcPr>
            <w:tcW w:w="0" w:type="auto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4 340,4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3 856,5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 w:rsidRPr="00366BB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10 006,4</w:t>
            </w:r>
          </w:p>
        </w:tc>
        <w:tc>
          <w:tcPr>
            <w:tcW w:w="0" w:type="auto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8 970,1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8 692,8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 w:rsidRPr="00366BB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  <w:tc>
          <w:tcPr>
            <w:tcW w:w="0" w:type="auto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2 433,3</w:t>
            </w:r>
          </w:p>
        </w:tc>
        <w:tc>
          <w:tcPr>
            <w:tcW w:w="0" w:type="auto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1 830,0</w:t>
            </w:r>
          </w:p>
        </w:tc>
        <w:tc>
          <w:tcPr>
            <w:tcW w:w="0" w:type="auto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1 813,1</w:t>
            </w: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8D2846" w:rsidRPr="00366BBA" w:rsidTr="00E1732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8D2846" w:rsidRDefault="008D2846" w:rsidP="008D2846">
            <w:pPr>
              <w:ind w:left="-98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vAlign w:val="center"/>
          </w:tcPr>
          <w:p w:rsidR="008D2846" w:rsidRDefault="003A5816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0" w:type="auto"/>
            <w:noWrap/>
            <w:vAlign w:val="center"/>
          </w:tcPr>
          <w:p w:rsidR="008D2846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2846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noWrap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8D2846" w:rsidRPr="00366BBA" w:rsidRDefault="008D284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</w:tr>
      <w:tr w:rsidR="003A5816" w:rsidRPr="00366BBA" w:rsidTr="00E17329">
        <w:trPr>
          <w:trHeight w:val="20"/>
        </w:trPr>
        <w:tc>
          <w:tcPr>
            <w:tcW w:w="817" w:type="dxa"/>
            <w:noWrap/>
          </w:tcPr>
          <w:p w:rsidR="003A5816" w:rsidRPr="007F7F99" w:rsidRDefault="0076537B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3A5816" w:rsidRDefault="003A5816" w:rsidP="008D2846">
            <w:pPr>
              <w:ind w:left="-98"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="00755AED">
              <w:rPr>
                <w:sz w:val="24"/>
                <w:szCs w:val="24"/>
              </w:rPr>
              <w:t>образований</w:t>
            </w:r>
          </w:p>
        </w:tc>
        <w:tc>
          <w:tcPr>
            <w:tcW w:w="0" w:type="auto"/>
            <w:vAlign w:val="center"/>
          </w:tcPr>
          <w:p w:rsidR="003A5816" w:rsidRDefault="00755AED" w:rsidP="00E17329">
            <w:pPr>
              <w:ind w:left="-98" w:right="-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948,7</w:t>
            </w:r>
          </w:p>
        </w:tc>
        <w:tc>
          <w:tcPr>
            <w:tcW w:w="0" w:type="auto"/>
            <w:noWrap/>
            <w:vAlign w:val="center"/>
          </w:tcPr>
          <w:p w:rsidR="003A5816" w:rsidRDefault="003A581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5816" w:rsidRDefault="003A581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1236" w:type="dxa"/>
            <w:noWrap/>
            <w:vAlign w:val="center"/>
          </w:tcPr>
          <w:p w:rsidR="003A5816" w:rsidRDefault="003A581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A5816" w:rsidRDefault="003A5816" w:rsidP="00E17329">
            <w:pPr>
              <w:ind w:left="-98" w:right="-37"/>
              <w:jc w:val="right"/>
              <w:rPr>
                <w:sz w:val="24"/>
                <w:szCs w:val="24"/>
              </w:rPr>
            </w:pPr>
          </w:p>
        </w:tc>
      </w:tr>
      <w:tr w:rsidR="008D2846" w:rsidRPr="00366BBA" w:rsidTr="007F7F99">
        <w:trPr>
          <w:trHeight w:val="20"/>
        </w:trPr>
        <w:tc>
          <w:tcPr>
            <w:tcW w:w="817" w:type="dxa"/>
            <w:noWrap/>
          </w:tcPr>
          <w:p w:rsidR="008D2846" w:rsidRPr="007F7F99" w:rsidRDefault="008D2846" w:rsidP="008D2846">
            <w:pPr>
              <w:ind w:left="-98" w:right="-37"/>
              <w:rPr>
                <w:b/>
                <w:sz w:val="24"/>
                <w:szCs w:val="24"/>
              </w:rPr>
            </w:pPr>
            <w:r w:rsidRPr="007F7F9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580" w:type="dxa"/>
          </w:tcPr>
          <w:p w:rsidR="008D2846" w:rsidRPr="00366BBA" w:rsidRDefault="008D2846" w:rsidP="008D2846">
            <w:pPr>
              <w:ind w:left="-98" w:right="-37"/>
              <w:rPr>
                <w:b/>
                <w:sz w:val="24"/>
                <w:szCs w:val="24"/>
              </w:rPr>
            </w:pPr>
            <w:r w:rsidRPr="00366B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D2846" w:rsidRPr="00366BBA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29 127,3</w:t>
            </w:r>
          </w:p>
        </w:tc>
        <w:tc>
          <w:tcPr>
            <w:tcW w:w="0" w:type="auto"/>
          </w:tcPr>
          <w:p w:rsidR="008D2846" w:rsidRPr="00366BBA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30 782,9</w:t>
            </w:r>
          </w:p>
        </w:tc>
        <w:tc>
          <w:tcPr>
            <w:tcW w:w="0" w:type="auto"/>
          </w:tcPr>
          <w:p w:rsidR="008D2846" w:rsidRPr="00366BBA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29 680,7</w:t>
            </w:r>
          </w:p>
        </w:tc>
        <w:tc>
          <w:tcPr>
            <w:tcW w:w="1236" w:type="dxa"/>
            <w:noWrap/>
          </w:tcPr>
          <w:p w:rsidR="008D2846" w:rsidRPr="00366BBA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96,4</w:t>
            </w:r>
          </w:p>
        </w:tc>
        <w:tc>
          <w:tcPr>
            <w:tcW w:w="1365" w:type="dxa"/>
          </w:tcPr>
          <w:p w:rsidR="008D2846" w:rsidRPr="00366BBA" w:rsidRDefault="008D2846" w:rsidP="008D2846">
            <w:pPr>
              <w:ind w:left="-98" w:righ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</w:t>
            </w:r>
          </w:p>
        </w:tc>
      </w:tr>
    </w:tbl>
    <w:p w:rsidR="0099050B" w:rsidRPr="00366BBA" w:rsidRDefault="0099050B" w:rsidP="00990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9050B" w:rsidRDefault="0099050B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вопросы»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исполнены в объеме 430,5 тыс. рублей, или 100,0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3057F5" w:rsidRDefault="0099050B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бюджета поселения расходы по данному разделу з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составили 1,4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366B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0102</w:t>
      </w:r>
      <w:r w:rsidR="000506B8" w:rsidRPr="0005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раздела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на содержание аппарата администрации </w:t>
      </w:r>
      <w:r w:rsidR="004A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Погар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50B" w:rsidRDefault="0071190D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057F5" w:rsidRDefault="003057F5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плата, начисления на заработную плату </w:t>
      </w:r>
      <w:r w:rsidR="0048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выходное пособие - </w:t>
      </w:r>
      <w:r w:rsidR="00061AD5" w:rsidRPr="00061AD5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0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6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AD5" w:rsidRDefault="00061AD5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налогов, пеней и штрафов - 0,9 тыс. рублей</w:t>
      </w:r>
      <w:r w:rsidR="00136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AD5" w:rsidRDefault="00136A65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Членские взносы в СМО Брянской области - 7 тыс. рублей;</w:t>
      </w:r>
    </w:p>
    <w:p w:rsidR="004608D9" w:rsidRDefault="00136A65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нормативно-правовых актов - 5,3 тыс. рублей.</w:t>
      </w:r>
    </w:p>
    <w:p w:rsidR="00136A65" w:rsidRDefault="00136A65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75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 в объёме 68,2 тыс. руб., или 68,2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удельный вес в общих расходах составляет 0,2 процента.</w:t>
      </w:r>
    </w:p>
    <w:p w:rsidR="004335C6" w:rsidRDefault="004335C6" w:rsidP="00DF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C6" w:rsidRDefault="0099050B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«Национальная экономика»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исполнены в объеме 14 690,1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100,0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2,0 раза выше уровня 2014 года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удельный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расходах составляет 49,6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расходы на содержание дорог общего пользования местного значения, на развитие и совершенствование сети автомобильн</w:t>
      </w:r>
      <w:r w:rsidR="00222F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дорог 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за счёт поступивших акцизов по подакцизным товарам, производимым на террито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РФ</w:t>
      </w:r>
      <w:r w:rsidR="00433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35C6" w:rsidRDefault="005510E8" w:rsidP="00482AE8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автодороги по ул. Советская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7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482AE8">
        <w:rPr>
          <w:rFonts w:ascii="Times New Roman" w:eastAsia="Times New Roman" w:hAnsi="Times New Roman" w:cs="Times New Roman"/>
          <w:sz w:val="28"/>
          <w:szCs w:val="28"/>
          <w:lang w:eastAsia="ru-RU"/>
        </w:rPr>
        <w:t>6 408,3 тыс. рублей,</w:t>
      </w:r>
    </w:p>
    <w:p w:rsidR="00482AE8" w:rsidRPr="00125ECA" w:rsidRDefault="00482AE8" w:rsidP="00482AE8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по ремонту автомобильной дороги по ул. Советская - 337,3 тыс. рублей;</w:t>
      </w:r>
    </w:p>
    <w:p w:rsidR="00482AE8" w:rsidRDefault="008F123A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 по ул. Калинина и ул. Горького - 1 039,7 тыс. рублей;</w:t>
      </w:r>
    </w:p>
    <w:p w:rsidR="008F123A" w:rsidRPr="00125ECA" w:rsidRDefault="008F123A" w:rsidP="008F123A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по ул. Кирова - </w:t>
      </w:r>
      <w:r w:rsidR="00925459" w:rsidRP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>744,8</w:t>
      </w:r>
      <w:r w:rsid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59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(общая стоимость контракта</w:t>
      </w:r>
      <w:r w:rsidR="00C9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1 244,8 тыс. рублей</w:t>
      </w:r>
      <w:r w:rsid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>, 500 тыс. рублей оплачено в 2014 году</w:t>
      </w:r>
      <w:r w:rsidR="001D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о передаче полномочий</w:t>
      </w:r>
      <w:r w:rsidR="00C9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поселения в район</w:t>
      </w:r>
      <w:r w:rsidR="009254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AE8" w:rsidRDefault="00341BD4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75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 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улицам: Ленина, Фрунзе, Чкалова, Гагарина, Жданова</w:t>
      </w:r>
      <w:r w:rsidR="0075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пересечение улиц Ананченко и Гагарина в п.г.т. Погар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(МУП МУЖКХ) - 795,1</w:t>
      </w:r>
    </w:p>
    <w:p w:rsidR="00763B5F" w:rsidRPr="008C734A" w:rsidRDefault="00763B5F" w:rsidP="00763B5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подъездной дороги 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домам по </w:t>
      </w:r>
      <w:r w:rsidRPr="008C7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Полевая</w:t>
      </w:r>
      <w:r w:rsidR="008E3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д.22, д.24</w:t>
      </w:r>
      <w:r w:rsidRPr="008C7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- 225,5 тыс. рублей.</w:t>
      </w:r>
    </w:p>
    <w:p w:rsidR="00541108" w:rsidRPr="00125ECA" w:rsidRDefault="00541108" w:rsidP="00541108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автомобильной дороги по ул. Свердлова - 683,66 тыс. рублей;</w:t>
      </w:r>
    </w:p>
    <w:p w:rsidR="00CD6B3D" w:rsidRDefault="00F65BD2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грейдированию улиц пгт Погар: Володарская, Новая, Щорса, Вишневая, Тополиная, Красноармейская, Советская, Гоголя, Вокзальная, В. Интернационалистов, </w:t>
      </w:r>
      <w:r w:rsidR="007265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Дружбы, Цветочная, Березовая, Н. Ленинская, Луговая, пер. Советский, Урицкого, Стародубская, Зеленского, Жданова, Луначарская, Чапаева, Крупская - 48 тыс. руб.</w:t>
      </w:r>
    </w:p>
    <w:p w:rsidR="00763B5F" w:rsidRPr="00F34EF0" w:rsidRDefault="00763B5F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F9" w:rsidRPr="00F34EF0" w:rsidRDefault="0066797A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 w:rsidR="00C06DC4" w:rsidRPr="00F3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(субсидия МУП МУЖКХ) (Обслуживание и ремонт светофоров, установка и ремонт дорожных знаков, нанесение дорожной разметки)</w:t>
      </w:r>
      <w:r w:rsidRPr="00F3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F14D0" w:rsidRPr="00F34EF0">
        <w:rPr>
          <w:rFonts w:ascii="Times New Roman" w:eastAsia="Times New Roman" w:hAnsi="Times New Roman" w:cs="Times New Roman"/>
          <w:sz w:val="28"/>
          <w:szCs w:val="28"/>
          <w:lang w:eastAsia="ru-RU"/>
        </w:rPr>
        <w:t>395,3</w:t>
      </w:r>
      <w:r w:rsidR="00322EF9" w:rsidRPr="00F3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C734A" w:rsidRPr="00125ECA" w:rsidRDefault="008C734A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6" w:rsidRDefault="009E3096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и условий безопасного движения по ним (субсидия на содержание дорог местного значения)</w:t>
      </w:r>
      <w:r w:rsidR="008B2FD9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6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 ямочный ремонт, у</w:t>
      </w:r>
      <w:r w:rsidR="008B2FD9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борка улиц, скашивание травы у обочин, очистка водостоков, вывоз мусора, грунта, </w:t>
      </w:r>
      <w:r w:rsidR="00A51BB8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в зимний период, посыпка, откачка сточных вод, грейдирование улиц</w:t>
      </w:r>
      <w:r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78ED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4 012,</w:t>
      </w:r>
      <w:r w:rsidR="008B2818" w:rsidRPr="00125ECA">
        <w:rPr>
          <w:rFonts w:ascii="Times New Roman" w:eastAsia="Times New Roman" w:hAnsi="Times New Roman" w:cs="Times New Roman"/>
          <w:sz w:val="28"/>
          <w:szCs w:val="28"/>
          <w:lang w:eastAsia="ru-RU"/>
        </w:rPr>
        <w:t>45 тыс. рублей.</w:t>
      </w:r>
    </w:p>
    <w:p w:rsidR="004335C6" w:rsidRDefault="004335C6" w:rsidP="00DF794F">
      <w:pPr>
        <w:spacing w:after="0" w:line="240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«Жилищно-коммунальное хозяйство» 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поселения составило 3 856,5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показателям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87,8% к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удельный вес в общих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 бюджета составил 13,0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8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разделу отражены расходы на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лищное, коммунальное хозяйство, благоустройство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уличное освеще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8552A3" w:rsidRDefault="008552A3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552A3" w:rsidRDefault="008552A3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(субсидия МУП МУЖКХ) - 1 326,7 тыс. рублей;</w:t>
      </w:r>
    </w:p>
    <w:p w:rsidR="008552A3" w:rsidRDefault="008552A3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</w:t>
      </w:r>
      <w:r w:rsidR="00AE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 на поставку электроэнергии)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008">
        <w:rPr>
          <w:rFonts w:ascii="Times New Roman" w:eastAsia="Times New Roman" w:hAnsi="Times New Roman" w:cs="Times New Roman"/>
          <w:sz w:val="28"/>
          <w:szCs w:val="28"/>
          <w:lang w:eastAsia="ru-RU"/>
        </w:rPr>
        <w:t>785,3 тыс. рублей;</w:t>
      </w:r>
    </w:p>
    <w:p w:rsidR="00AE1008" w:rsidRDefault="00AE1008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территорий - </w:t>
      </w:r>
      <w:r w:rsidR="006527D9">
        <w:rPr>
          <w:rFonts w:ascii="Times New Roman" w:eastAsia="Times New Roman" w:hAnsi="Times New Roman" w:cs="Times New Roman"/>
          <w:sz w:val="28"/>
          <w:szCs w:val="28"/>
          <w:lang w:eastAsia="ru-RU"/>
        </w:rPr>
        <w:t>178,3 тыс. рублей;</w:t>
      </w:r>
    </w:p>
    <w:p w:rsidR="006527D9" w:rsidRDefault="006527D9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мест захоронения - 247,3 тыс. рублей;</w:t>
      </w:r>
    </w:p>
    <w:p w:rsidR="006527D9" w:rsidRDefault="006527D9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мероприятия по благоустройству </w:t>
      </w:r>
      <w:r w:rsidR="00400248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(субсидия МУП МУЖКХ)</w:t>
      </w:r>
      <w:r w:rsidR="00264F6D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Установка уборных по ул. Чехова и по ул. Полевая, выпилка и валка деревьев, раскорчевка пней, уборка парков, изготовление и ремонт скамей</w:t>
      </w:r>
      <w:r w:rsidR="005B1EB7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F6D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B7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детских площадок, завоз песка на детские площадки </w:t>
      </w:r>
      <w:r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248" w:rsidRPr="00FD4A36">
        <w:rPr>
          <w:rFonts w:ascii="Times New Roman" w:eastAsia="Times New Roman" w:hAnsi="Times New Roman" w:cs="Times New Roman"/>
          <w:sz w:val="28"/>
          <w:szCs w:val="28"/>
          <w:lang w:eastAsia="ru-RU"/>
        </w:rPr>
        <w:t>939 тыс. рублей;</w:t>
      </w:r>
    </w:p>
    <w:p w:rsidR="000A1E0F" w:rsidRDefault="004328DB" w:rsidP="00400248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 тыс. рублей</w:t>
      </w:r>
      <w:r w:rsidR="00405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по прокладке газопроводов; </w:t>
      </w:r>
    </w:p>
    <w:p w:rsidR="00400248" w:rsidRDefault="00444796" w:rsidP="00400248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280,8 тыс</w:t>
      </w:r>
      <w:r w:rsidR="0043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05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 газопровода по</w:t>
      </w:r>
      <w:r w:rsidR="0043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Вокзальная в пгт Погар.</w:t>
      </w:r>
    </w:p>
    <w:p w:rsidR="008552A3" w:rsidRPr="00366BBA" w:rsidRDefault="008552A3" w:rsidP="0099050B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«Культура, кинематография»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исполнены в объеме 8 692,8 тыс. рублей, или 96,9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и ниже 2014 года на 13,1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удельный вес в общ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объеме расходов составил 29,3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366B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отражены </w:t>
      </w:r>
      <w:r w:rsidR="001C0A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0A6A" w:rsidRPr="001C0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обеспечения населения услугами учреждений культуры</w:t>
      </w:r>
      <w:r w:rsidR="001C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</w:t>
      </w:r>
      <w:r w:rsidR="00D24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«Погарский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Дом культуры» и</w:t>
      </w:r>
      <w:r w:rsidR="001D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D1574" w:rsidRPr="001D15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обеспечения библиотечного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4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«Центральная библиотечная система Погарского района»</w:t>
      </w:r>
      <w:r w:rsidR="00D3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E27" w:rsidRP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786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50B" w:rsidRPr="00366BBA" w:rsidRDefault="0099050B" w:rsidP="0099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66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«Социальная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объем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 129,5 тыс. рублей, 86,3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37,0% к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оду, удельный вес составляет 6,1</w:t>
      </w: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По данному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отражены расходы на пенсионное обеспечение муни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служащих </w:t>
      </w:r>
      <w:r w:rsidR="00280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составившие 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>129,5</w:t>
      </w:r>
      <w:r w:rsidR="002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80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9050B" w:rsidRDefault="0099050B" w:rsidP="00D24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исполнены в </w:t>
      </w:r>
      <w:r w:rsidR="0091788F"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объёме </w:t>
      </w:r>
      <w:r w:rsidR="000F0B32"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>1 813,1</w:t>
      </w:r>
      <w:r w:rsidR="0091788F"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99,1% от плановых назначений и 74,5% к 2014</w:t>
      </w:r>
      <w:r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удельный вес в обще</w:t>
      </w:r>
      <w:r w:rsidR="0091788F"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объёме расходов составляет 6,1</w:t>
      </w:r>
      <w:r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Физическая </w:t>
      </w:r>
      <w:r w:rsidRPr="00E41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представлена МБУ «Физкультурно-оздоровительный комплекс</w:t>
      </w:r>
      <w:r w:rsidR="00D2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района».</w:t>
      </w:r>
    </w:p>
    <w:p w:rsidR="00857F82" w:rsidRDefault="00857F82" w:rsidP="00222F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Default="0099050B" w:rsidP="00222F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в разрезе статей и подстатей </w:t>
      </w:r>
      <w:r w:rsidR="008D6BB1" w:rsidRPr="008D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кодов классификации операций сектора государственного управления</w:t>
      </w:r>
      <w:r w:rsidR="000E7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537"/>
        <w:gridCol w:w="2409"/>
        <w:gridCol w:w="1336"/>
        <w:gridCol w:w="1483"/>
        <w:gridCol w:w="1356"/>
        <w:gridCol w:w="1280"/>
        <w:gridCol w:w="1452"/>
      </w:tblGrid>
      <w:tr w:rsidR="008D6BB1" w:rsidRPr="0086404D" w:rsidTr="008D6BB1">
        <w:trPr>
          <w:trHeight w:val="526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>КЭК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>Наименование кода экономической классификации расходов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>Исполнено за 2014 год, тыс. руб.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 xml:space="preserve">Утверждено на 2015 год </w:t>
            </w:r>
            <w:r w:rsidRPr="0086404D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 xml:space="preserve">Исполнено за 2015 год </w:t>
            </w:r>
            <w:r w:rsidRPr="0086404D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>Исполнено за 2015 год, %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404D">
              <w:rPr>
                <w:rFonts w:ascii="Times New Roman" w:hAnsi="Times New Roman" w:cs="Times New Roman"/>
                <w:b/>
                <w:szCs w:val="24"/>
              </w:rPr>
              <w:t>Исполнение 2015 года к 2014 году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2 345,7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285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D6BB1" w:rsidRPr="0086404D" w:rsidTr="0086404D">
        <w:trPr>
          <w:trHeight w:val="159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218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785,3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15,7 раз</w:t>
            </w:r>
          </w:p>
        </w:tc>
      </w:tr>
      <w:tr w:rsidR="008D6BB1" w:rsidRPr="0086404D" w:rsidTr="0086404D">
        <w:trPr>
          <w:trHeight w:val="46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3 687,7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10 751,5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10 282,4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2,8 раз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18 390,5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bookmarkStart w:id="0" w:name="_GoBack"/>
            <w:bookmarkEnd w:id="0"/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098,4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8 912,2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948,7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8 954,1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8 676,8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9,1 раз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8D6BB1" w:rsidRPr="0086404D" w:rsidTr="0086404D">
        <w:trPr>
          <w:trHeight w:val="31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3,2 </w:t>
            </w:r>
          </w:p>
        </w:tc>
      </w:tr>
      <w:tr w:rsidR="008D6BB1" w:rsidRPr="0086404D" w:rsidTr="0086404D">
        <w:trPr>
          <w:trHeight w:val="604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6,3 раза</w:t>
            </w:r>
          </w:p>
        </w:tc>
      </w:tr>
      <w:tr w:rsidR="008D6BB1" w:rsidRPr="0086404D" w:rsidTr="0086404D">
        <w:trPr>
          <w:trHeight w:val="576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8D6BB1" w:rsidRPr="0086404D" w:rsidRDefault="008D6BB1" w:rsidP="00A07472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</w:t>
            </w:r>
            <w:r w:rsidR="00A07472" w:rsidRPr="0086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803,1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B1" w:rsidRPr="0086404D" w:rsidTr="0086404D">
        <w:trPr>
          <w:trHeight w:val="249"/>
        </w:trPr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8D6BB1" w:rsidRPr="0086404D" w:rsidRDefault="008D6BB1" w:rsidP="000A691B">
            <w:pPr>
              <w:ind w:left="-70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всего: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29 127,3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30 782,9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29 680,7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0" w:type="auto"/>
            <w:vAlign w:val="center"/>
          </w:tcPr>
          <w:p w:rsidR="008D6BB1" w:rsidRPr="0086404D" w:rsidRDefault="008D6BB1" w:rsidP="0086404D">
            <w:pPr>
              <w:ind w:left="-70" w:right="-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</w:tbl>
    <w:p w:rsidR="0099050B" w:rsidRPr="00366BBA" w:rsidRDefault="0099050B" w:rsidP="00990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бюджета поселения в разрезе статей и подстатей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12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 составили</w:t>
      </w:r>
      <w:r w:rsidR="00A0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E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услуги по содержанию имущества (статья 225) – 34,6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9050B" w:rsidRPr="00366BBA" w:rsidRDefault="0099050B" w:rsidP="0062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бюджета поселения отсутствует.</w:t>
      </w:r>
    </w:p>
    <w:sectPr w:rsidR="0099050B" w:rsidRPr="00366BBA" w:rsidSect="004C052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10" w:rsidRDefault="00105010">
      <w:pPr>
        <w:spacing w:after="0" w:line="240" w:lineRule="auto"/>
      </w:pPr>
      <w:r>
        <w:separator/>
      </w:r>
    </w:p>
  </w:endnote>
  <w:endnote w:type="continuationSeparator" w:id="0">
    <w:p w:rsidR="00105010" w:rsidRDefault="0010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10" w:rsidRDefault="00105010">
      <w:pPr>
        <w:spacing w:after="0" w:line="240" w:lineRule="auto"/>
      </w:pPr>
      <w:r>
        <w:separator/>
      </w:r>
    </w:p>
  </w:footnote>
  <w:footnote w:type="continuationSeparator" w:id="0">
    <w:p w:rsidR="00105010" w:rsidRDefault="0010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4FF"/>
    <w:multiLevelType w:val="hybridMultilevel"/>
    <w:tmpl w:val="1FE26AC0"/>
    <w:lvl w:ilvl="0" w:tplc="78663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565A5D"/>
    <w:multiLevelType w:val="hybridMultilevel"/>
    <w:tmpl w:val="CBB4671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76760C"/>
    <w:multiLevelType w:val="hybridMultilevel"/>
    <w:tmpl w:val="9F8A1F14"/>
    <w:lvl w:ilvl="0" w:tplc="9C666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9445D6"/>
    <w:multiLevelType w:val="hybridMultilevel"/>
    <w:tmpl w:val="3266F486"/>
    <w:lvl w:ilvl="0" w:tplc="4816D3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05BAC"/>
    <w:rsid w:val="00025F1D"/>
    <w:rsid w:val="000305BD"/>
    <w:rsid w:val="00041C6F"/>
    <w:rsid w:val="000442A5"/>
    <w:rsid w:val="000506B8"/>
    <w:rsid w:val="00061AD5"/>
    <w:rsid w:val="00063D38"/>
    <w:rsid w:val="00080C9D"/>
    <w:rsid w:val="000863EC"/>
    <w:rsid w:val="0008699B"/>
    <w:rsid w:val="000932F8"/>
    <w:rsid w:val="000A1E0F"/>
    <w:rsid w:val="000A691B"/>
    <w:rsid w:val="000B53D2"/>
    <w:rsid w:val="000C7BC4"/>
    <w:rsid w:val="000E7642"/>
    <w:rsid w:val="000F0B32"/>
    <w:rsid w:val="00105010"/>
    <w:rsid w:val="0010716D"/>
    <w:rsid w:val="00125ECA"/>
    <w:rsid w:val="00136A65"/>
    <w:rsid w:val="001478ED"/>
    <w:rsid w:val="00150A31"/>
    <w:rsid w:val="001C0A6A"/>
    <w:rsid w:val="001C6CFE"/>
    <w:rsid w:val="001D03ED"/>
    <w:rsid w:val="001D0E68"/>
    <w:rsid w:val="001D1574"/>
    <w:rsid w:val="001E2410"/>
    <w:rsid w:val="001E7BFD"/>
    <w:rsid w:val="00222F47"/>
    <w:rsid w:val="00242E8E"/>
    <w:rsid w:val="002438F4"/>
    <w:rsid w:val="00246FA5"/>
    <w:rsid w:val="002648B7"/>
    <w:rsid w:val="00264F6D"/>
    <w:rsid w:val="00276A9C"/>
    <w:rsid w:val="00280B2A"/>
    <w:rsid w:val="00281EF6"/>
    <w:rsid w:val="00286D1B"/>
    <w:rsid w:val="002A523D"/>
    <w:rsid w:val="002B61B7"/>
    <w:rsid w:val="002C6E92"/>
    <w:rsid w:val="002C6FE9"/>
    <w:rsid w:val="002D136A"/>
    <w:rsid w:val="002D771F"/>
    <w:rsid w:val="002E1CAC"/>
    <w:rsid w:val="00303339"/>
    <w:rsid w:val="003057F5"/>
    <w:rsid w:val="00317920"/>
    <w:rsid w:val="00321C2D"/>
    <w:rsid w:val="00322EF9"/>
    <w:rsid w:val="00341BD4"/>
    <w:rsid w:val="00392227"/>
    <w:rsid w:val="00394AAB"/>
    <w:rsid w:val="003A5816"/>
    <w:rsid w:val="003E2B7A"/>
    <w:rsid w:val="003E2EA6"/>
    <w:rsid w:val="003E5C11"/>
    <w:rsid w:val="003E608E"/>
    <w:rsid w:val="00400159"/>
    <w:rsid w:val="00400248"/>
    <w:rsid w:val="00400711"/>
    <w:rsid w:val="00402204"/>
    <w:rsid w:val="00404655"/>
    <w:rsid w:val="00405B9D"/>
    <w:rsid w:val="004328DB"/>
    <w:rsid w:val="004335C6"/>
    <w:rsid w:val="004345F3"/>
    <w:rsid w:val="004443C7"/>
    <w:rsid w:val="00444796"/>
    <w:rsid w:val="00451567"/>
    <w:rsid w:val="00456D68"/>
    <w:rsid w:val="004608D9"/>
    <w:rsid w:val="00470C38"/>
    <w:rsid w:val="0048147C"/>
    <w:rsid w:val="00482AE8"/>
    <w:rsid w:val="004A4498"/>
    <w:rsid w:val="004C0527"/>
    <w:rsid w:val="00513F16"/>
    <w:rsid w:val="00523428"/>
    <w:rsid w:val="00535431"/>
    <w:rsid w:val="00536787"/>
    <w:rsid w:val="00541108"/>
    <w:rsid w:val="005510E8"/>
    <w:rsid w:val="005775D0"/>
    <w:rsid w:val="00586FEA"/>
    <w:rsid w:val="005B1EB7"/>
    <w:rsid w:val="005B356F"/>
    <w:rsid w:val="005B5EF5"/>
    <w:rsid w:val="005D64C3"/>
    <w:rsid w:val="005E120E"/>
    <w:rsid w:val="005F3885"/>
    <w:rsid w:val="00622B98"/>
    <w:rsid w:val="00625BDE"/>
    <w:rsid w:val="00636285"/>
    <w:rsid w:val="0063691F"/>
    <w:rsid w:val="006527D9"/>
    <w:rsid w:val="00661FA0"/>
    <w:rsid w:val="0066797A"/>
    <w:rsid w:val="00673517"/>
    <w:rsid w:val="006B0A10"/>
    <w:rsid w:val="006E093B"/>
    <w:rsid w:val="006E3056"/>
    <w:rsid w:val="006F672A"/>
    <w:rsid w:val="0071190D"/>
    <w:rsid w:val="007265EC"/>
    <w:rsid w:val="00740007"/>
    <w:rsid w:val="00753998"/>
    <w:rsid w:val="00755AED"/>
    <w:rsid w:val="00763B5F"/>
    <w:rsid w:val="0076537B"/>
    <w:rsid w:val="007654FC"/>
    <w:rsid w:val="007807BE"/>
    <w:rsid w:val="00786E27"/>
    <w:rsid w:val="007959B5"/>
    <w:rsid w:val="00797B8E"/>
    <w:rsid w:val="007A1A97"/>
    <w:rsid w:val="007C5A66"/>
    <w:rsid w:val="007F1EA0"/>
    <w:rsid w:val="007F7F99"/>
    <w:rsid w:val="008353DE"/>
    <w:rsid w:val="008552A3"/>
    <w:rsid w:val="00857F82"/>
    <w:rsid w:val="0086404D"/>
    <w:rsid w:val="00865819"/>
    <w:rsid w:val="00873851"/>
    <w:rsid w:val="00876BD3"/>
    <w:rsid w:val="00883654"/>
    <w:rsid w:val="008A29CD"/>
    <w:rsid w:val="008B2818"/>
    <w:rsid w:val="008B2FD9"/>
    <w:rsid w:val="008B3A22"/>
    <w:rsid w:val="008C734A"/>
    <w:rsid w:val="008D2846"/>
    <w:rsid w:val="008D6BB1"/>
    <w:rsid w:val="008E3DEA"/>
    <w:rsid w:val="008F123A"/>
    <w:rsid w:val="00906354"/>
    <w:rsid w:val="00912A41"/>
    <w:rsid w:val="00913B39"/>
    <w:rsid w:val="0091788F"/>
    <w:rsid w:val="009249EC"/>
    <w:rsid w:val="00925459"/>
    <w:rsid w:val="0092675E"/>
    <w:rsid w:val="00934815"/>
    <w:rsid w:val="00936773"/>
    <w:rsid w:val="00960F72"/>
    <w:rsid w:val="009626A8"/>
    <w:rsid w:val="009842BE"/>
    <w:rsid w:val="0099050B"/>
    <w:rsid w:val="009C15A6"/>
    <w:rsid w:val="009E3096"/>
    <w:rsid w:val="009F14D0"/>
    <w:rsid w:val="00A07472"/>
    <w:rsid w:val="00A23FE3"/>
    <w:rsid w:val="00A276A8"/>
    <w:rsid w:val="00A307D9"/>
    <w:rsid w:val="00A33459"/>
    <w:rsid w:val="00A51BB8"/>
    <w:rsid w:val="00A54215"/>
    <w:rsid w:val="00A75B9F"/>
    <w:rsid w:val="00A95877"/>
    <w:rsid w:val="00AA1147"/>
    <w:rsid w:val="00AE1008"/>
    <w:rsid w:val="00AF5AA6"/>
    <w:rsid w:val="00B144B6"/>
    <w:rsid w:val="00B376E5"/>
    <w:rsid w:val="00B50CF7"/>
    <w:rsid w:val="00B7459A"/>
    <w:rsid w:val="00B90159"/>
    <w:rsid w:val="00BA44E9"/>
    <w:rsid w:val="00BB12AB"/>
    <w:rsid w:val="00BB7D6C"/>
    <w:rsid w:val="00BE64EE"/>
    <w:rsid w:val="00BE66D2"/>
    <w:rsid w:val="00BE7C71"/>
    <w:rsid w:val="00BF602D"/>
    <w:rsid w:val="00C0663E"/>
    <w:rsid w:val="00C06AAC"/>
    <w:rsid w:val="00C06DC4"/>
    <w:rsid w:val="00C30E58"/>
    <w:rsid w:val="00C35271"/>
    <w:rsid w:val="00C41521"/>
    <w:rsid w:val="00C46928"/>
    <w:rsid w:val="00C50F2A"/>
    <w:rsid w:val="00C56395"/>
    <w:rsid w:val="00C825FE"/>
    <w:rsid w:val="00C96DA4"/>
    <w:rsid w:val="00CD2CC5"/>
    <w:rsid w:val="00CD6B3D"/>
    <w:rsid w:val="00CD7B52"/>
    <w:rsid w:val="00CE7545"/>
    <w:rsid w:val="00D0233D"/>
    <w:rsid w:val="00D22DA1"/>
    <w:rsid w:val="00D24513"/>
    <w:rsid w:val="00D309C5"/>
    <w:rsid w:val="00D55A81"/>
    <w:rsid w:val="00D601A5"/>
    <w:rsid w:val="00D7150C"/>
    <w:rsid w:val="00D81856"/>
    <w:rsid w:val="00D937D7"/>
    <w:rsid w:val="00DA361C"/>
    <w:rsid w:val="00DA6C96"/>
    <w:rsid w:val="00DB1197"/>
    <w:rsid w:val="00DC2BB6"/>
    <w:rsid w:val="00DE1E72"/>
    <w:rsid w:val="00DE43C6"/>
    <w:rsid w:val="00DF794F"/>
    <w:rsid w:val="00E03FAB"/>
    <w:rsid w:val="00E05A27"/>
    <w:rsid w:val="00E10894"/>
    <w:rsid w:val="00E16B8D"/>
    <w:rsid w:val="00E17329"/>
    <w:rsid w:val="00E26E05"/>
    <w:rsid w:val="00E35288"/>
    <w:rsid w:val="00E35E5F"/>
    <w:rsid w:val="00E418A5"/>
    <w:rsid w:val="00E479F2"/>
    <w:rsid w:val="00E573A5"/>
    <w:rsid w:val="00E71360"/>
    <w:rsid w:val="00E73017"/>
    <w:rsid w:val="00E7642E"/>
    <w:rsid w:val="00E91FC4"/>
    <w:rsid w:val="00E9780C"/>
    <w:rsid w:val="00EA26ED"/>
    <w:rsid w:val="00EB0BBA"/>
    <w:rsid w:val="00EC223D"/>
    <w:rsid w:val="00EC62FE"/>
    <w:rsid w:val="00ED11A6"/>
    <w:rsid w:val="00ED7265"/>
    <w:rsid w:val="00EE4B5B"/>
    <w:rsid w:val="00EE73A6"/>
    <w:rsid w:val="00F16A99"/>
    <w:rsid w:val="00F22BB1"/>
    <w:rsid w:val="00F244FF"/>
    <w:rsid w:val="00F245E6"/>
    <w:rsid w:val="00F277F9"/>
    <w:rsid w:val="00F34EF0"/>
    <w:rsid w:val="00F35D99"/>
    <w:rsid w:val="00F40A2B"/>
    <w:rsid w:val="00F41CCE"/>
    <w:rsid w:val="00F45AAE"/>
    <w:rsid w:val="00F50A28"/>
    <w:rsid w:val="00F55716"/>
    <w:rsid w:val="00F56692"/>
    <w:rsid w:val="00F65BD2"/>
    <w:rsid w:val="00F80338"/>
    <w:rsid w:val="00F954EE"/>
    <w:rsid w:val="00FD4A3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3EA"/>
  <w15:docId w15:val="{165D5CAB-87EE-4836-900E-D9B1B4A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9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50B"/>
  </w:style>
  <w:style w:type="paragraph" w:styleId="a8">
    <w:name w:val="footer"/>
    <w:basedOn w:val="a"/>
    <w:link w:val="a9"/>
    <w:uiPriority w:val="99"/>
    <w:unhideWhenUsed/>
    <w:rsid w:val="009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50B"/>
  </w:style>
  <w:style w:type="table" w:styleId="2">
    <w:name w:val="Plain Table 2"/>
    <w:basedOn w:val="a1"/>
    <w:uiPriority w:val="42"/>
    <w:rsid w:val="000A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0A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8A08-A8C3-4D91-AABB-4EFBB717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 Ваганович</cp:lastModifiedBy>
  <cp:revision>130</cp:revision>
  <cp:lastPrinted>2016-04-20T08:27:00Z</cp:lastPrinted>
  <dcterms:created xsi:type="dcterms:W3CDTF">2016-04-12T06:19:00Z</dcterms:created>
  <dcterms:modified xsi:type="dcterms:W3CDTF">2016-06-17T11:38:00Z</dcterms:modified>
</cp:coreProperties>
</file>